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CA1" w:rsidRDefault="00A07619" w:rsidP="00FD0615">
      <w:pPr>
        <w:pStyle w:val="Heading1"/>
        <w:spacing w:before="0"/>
        <w:jc w:val="center"/>
        <w:rPr>
          <w:sz w:val="24"/>
          <w:szCs w:val="24"/>
        </w:rPr>
      </w:pPr>
      <w:r>
        <w:rPr>
          <w:noProof/>
          <w:sz w:val="24"/>
          <w:szCs w:val="24"/>
        </w:rPr>
        <w:pict>
          <v:rect id="_x0000_s1041" style="position:absolute;left:0;text-align:left;margin-left:-49.65pt;margin-top:-47.15pt;width:574.75pt;height:743.55pt;z-index:251668480" filled="f" strokecolor="#365f91 [2404]" strokeweight="2.25pt">
            <v:shadow opacity=".5" offset="6pt,6pt"/>
          </v:rect>
        </w:pict>
      </w:r>
    </w:p>
    <w:p w:rsidR="00177CA1" w:rsidRDefault="00A07619" w:rsidP="00177CA1">
      <w:pPr>
        <w:rPr>
          <w:rFonts w:ascii="Verdana" w:hAnsi="Verdana"/>
          <w:color w:val="1F497D" w:themeColor="text2"/>
        </w:rPr>
      </w:pPr>
      <w:r w:rsidRPr="00A07619">
        <w:rPr>
          <w:noProof/>
          <w:sz w:val="24"/>
          <w:szCs w:val="24"/>
        </w:rPr>
        <w:pict>
          <v:shapetype id="_x0000_t202" coordsize="21600,21600" o:spt="202" path="m,l,21600r21600,l21600,xe">
            <v:stroke joinstyle="miter"/>
            <v:path gradientshapeok="t" o:connecttype="rect"/>
          </v:shapetype>
          <v:shape id="_x0000_s1046" type="#_x0000_t202" style="position:absolute;margin-left:-44.7pt;margin-top:29.25pt;width:560.45pt;height:205.95pt;z-index:251671552" stroked="f">
            <v:textbox>
              <w:txbxContent>
                <w:p w:rsidR="000327FF" w:rsidRDefault="00B00629" w:rsidP="000327FF">
                  <w:pPr>
                    <w:jc w:val="center"/>
                    <w:rPr>
                      <w:rStyle w:val="BookTitle"/>
                      <w:rFonts w:ascii="Times New Roman" w:hAnsi="Times New Roman" w:cs="Times New Roman"/>
                      <w:i/>
                      <w:color w:val="1F497D" w:themeColor="text2"/>
                      <w:sz w:val="56"/>
                      <w:szCs w:val="56"/>
                    </w:rPr>
                  </w:pPr>
                  <w:r w:rsidRPr="00B00629">
                    <w:rPr>
                      <w:rStyle w:val="BookTitle"/>
                      <w:rFonts w:ascii="Times New Roman" w:hAnsi="Times New Roman" w:cs="Times New Roman"/>
                      <w:i/>
                      <w:color w:val="1F497D" w:themeColor="text2"/>
                      <w:sz w:val="48"/>
                      <w:szCs w:val="56"/>
                    </w:rPr>
                    <w:t>Partnerships For A</w:t>
                  </w:r>
                  <w:r w:rsidR="009D1200" w:rsidRPr="00B00629">
                    <w:rPr>
                      <w:rStyle w:val="BookTitle"/>
                      <w:rFonts w:ascii="Times New Roman" w:hAnsi="Times New Roman" w:cs="Times New Roman"/>
                      <w:i/>
                      <w:color w:val="1F497D" w:themeColor="text2"/>
                      <w:sz w:val="48"/>
                      <w:szCs w:val="56"/>
                    </w:rPr>
                    <w:t xml:space="preserve"> </w:t>
                  </w:r>
                  <w:r w:rsidR="0099354C" w:rsidRPr="00B00629">
                    <w:rPr>
                      <w:rStyle w:val="BookTitle"/>
                      <w:rFonts w:ascii="Times New Roman" w:hAnsi="Times New Roman" w:cs="Times New Roman"/>
                      <w:i/>
                      <w:color w:val="1F497D" w:themeColor="text2"/>
                      <w:sz w:val="48"/>
                      <w:szCs w:val="56"/>
                    </w:rPr>
                    <w:t>Skilled Workforc</w:t>
                  </w:r>
                  <w:r w:rsidR="000327FF">
                    <w:rPr>
                      <w:rStyle w:val="BookTitle"/>
                      <w:rFonts w:ascii="Times New Roman" w:hAnsi="Times New Roman" w:cs="Times New Roman"/>
                      <w:i/>
                      <w:color w:val="1F497D" w:themeColor="text2"/>
                      <w:sz w:val="48"/>
                      <w:szCs w:val="56"/>
                    </w:rPr>
                    <w:t>e</w:t>
                  </w:r>
                  <w:r w:rsidR="009D1200">
                    <w:rPr>
                      <w:rStyle w:val="BookTitle"/>
                      <w:rFonts w:ascii="Times New Roman" w:hAnsi="Times New Roman" w:cs="Times New Roman"/>
                      <w:i/>
                      <w:color w:val="1F497D" w:themeColor="text2"/>
                      <w:sz w:val="56"/>
                      <w:szCs w:val="56"/>
                    </w:rPr>
                    <w:t xml:space="preserve"> </w:t>
                  </w:r>
                </w:p>
                <w:p w:rsidR="000327FF" w:rsidRDefault="000327FF" w:rsidP="000327FF">
                  <w:pPr>
                    <w:jc w:val="center"/>
                    <w:rPr>
                      <w:rStyle w:val="BookTitle"/>
                      <w:rFonts w:ascii="Times New Roman" w:hAnsi="Times New Roman" w:cs="Times New Roman"/>
                      <w:i/>
                      <w:color w:val="1F497D" w:themeColor="text2"/>
                      <w:sz w:val="56"/>
                      <w:szCs w:val="56"/>
                    </w:rPr>
                  </w:pPr>
                </w:p>
                <w:p w:rsidR="009D1200" w:rsidRPr="000327FF" w:rsidRDefault="009D1200" w:rsidP="000327FF">
                  <w:pPr>
                    <w:jc w:val="center"/>
                    <w:rPr>
                      <w:rStyle w:val="BookTitle"/>
                      <w:rFonts w:ascii="Times New Roman" w:hAnsi="Times New Roman" w:cs="Times New Roman"/>
                      <w:i/>
                      <w:color w:val="1F497D" w:themeColor="text2"/>
                      <w:sz w:val="48"/>
                      <w:szCs w:val="56"/>
                    </w:rPr>
                  </w:pPr>
                  <w:r>
                    <w:rPr>
                      <w:rStyle w:val="BookTitle"/>
                      <w:rFonts w:ascii="Times New Roman" w:hAnsi="Times New Roman" w:cs="Times New Roman"/>
                      <w:i/>
                      <w:color w:val="1F497D" w:themeColor="text2"/>
                      <w:sz w:val="56"/>
                      <w:szCs w:val="56"/>
                    </w:rPr>
                    <w:t>Knowledge Innovation Economy</w:t>
                  </w:r>
                </w:p>
                <w:p w:rsidR="00FB0B6D" w:rsidRPr="00225FDD" w:rsidRDefault="00FB0B6D" w:rsidP="009D1200">
                  <w:pPr>
                    <w:rPr>
                      <w:rFonts w:ascii="Times New Roman" w:hAnsi="Times New Roman" w:cs="Times New Roman"/>
                      <w:sz w:val="56"/>
                      <w:szCs w:val="56"/>
                    </w:rPr>
                  </w:pPr>
                </w:p>
              </w:txbxContent>
            </v:textbox>
          </v:shape>
        </w:pict>
      </w:r>
      <w:r w:rsidR="00177CA1">
        <w:br w:type="page"/>
      </w:r>
    </w:p>
    <w:p w:rsidR="00155C66" w:rsidRPr="009524D9" w:rsidRDefault="002F09FD" w:rsidP="009524D9">
      <w:pPr>
        <w:pStyle w:val="Heading1"/>
        <w:spacing w:before="0"/>
        <w:rPr>
          <w:sz w:val="20"/>
        </w:rPr>
      </w:pPr>
      <w:r w:rsidRPr="009524D9">
        <w:rPr>
          <w:sz w:val="20"/>
        </w:rPr>
        <w:lastRenderedPageBreak/>
        <w:t>Me</w:t>
      </w:r>
      <w:r w:rsidR="00155C66" w:rsidRPr="009524D9">
        <w:rPr>
          <w:sz w:val="20"/>
        </w:rPr>
        <w:t>tro Southwe</w:t>
      </w:r>
      <w:bookmarkStart w:id="0" w:name="_GoBack"/>
      <w:bookmarkEnd w:id="0"/>
      <w:r w:rsidR="00155C66" w:rsidRPr="009524D9">
        <w:rPr>
          <w:sz w:val="20"/>
        </w:rPr>
        <w:t>st</w:t>
      </w:r>
      <w:r w:rsidR="00F73171" w:rsidRPr="009524D9">
        <w:rPr>
          <w:sz w:val="20"/>
        </w:rPr>
        <w:t xml:space="preserve"> </w:t>
      </w:r>
      <w:r w:rsidR="00155C66" w:rsidRPr="009524D9">
        <w:rPr>
          <w:sz w:val="20"/>
        </w:rPr>
        <w:t>. . .</w:t>
      </w:r>
      <w:r w:rsidR="00F73171" w:rsidRPr="009524D9">
        <w:rPr>
          <w:sz w:val="20"/>
        </w:rPr>
        <w:t xml:space="preserve"> </w:t>
      </w:r>
      <w:r w:rsidR="00155C66" w:rsidRPr="009524D9">
        <w:rPr>
          <w:sz w:val="20"/>
        </w:rPr>
        <w:t xml:space="preserve">Technology Heartland of </w:t>
      </w:r>
      <w:r w:rsidR="00155C66" w:rsidRPr="00437487">
        <w:rPr>
          <w:sz w:val="20"/>
        </w:rPr>
        <w:t>Massachusetts</w:t>
      </w:r>
    </w:p>
    <w:p w:rsidR="00FD0615" w:rsidRPr="009524D9" w:rsidRDefault="00FD0615" w:rsidP="009524D9">
      <w:pPr>
        <w:rPr>
          <w:sz w:val="18"/>
          <w:szCs w:val="18"/>
        </w:rPr>
        <w:sectPr w:rsidR="00FD0615" w:rsidRPr="009524D9" w:rsidSect="00E131E5">
          <w:footerReference w:type="default" r:id="rId8"/>
          <w:footnotePr>
            <w:numFmt w:val="lowerRoman"/>
          </w:footnotePr>
          <w:endnotePr>
            <w:numFmt w:val="decimal"/>
          </w:endnotePr>
          <w:type w:val="continuous"/>
          <w:pgSz w:w="12240" w:h="15840"/>
          <w:pgMar w:top="1440" w:right="1440" w:bottom="1440" w:left="1440" w:header="720" w:footer="720" w:gutter="0"/>
          <w:cols w:space="720"/>
          <w:titlePg/>
          <w:docGrid w:linePitch="360"/>
        </w:sectPr>
      </w:pPr>
    </w:p>
    <w:p w:rsidR="005548C3" w:rsidRPr="009524D9" w:rsidRDefault="00D11D24" w:rsidP="009524D9">
      <w:pPr>
        <w:rPr>
          <w:sz w:val="18"/>
          <w:szCs w:val="18"/>
        </w:rPr>
      </w:pPr>
      <w:r w:rsidRPr="009524D9">
        <w:rPr>
          <w:sz w:val="18"/>
          <w:szCs w:val="18"/>
        </w:rPr>
        <w:lastRenderedPageBreak/>
        <w:t xml:space="preserve">Covering the area between Routes 128/I495, and serving 43 communities, Metro </w:t>
      </w:r>
      <w:r w:rsidR="00425DD7" w:rsidRPr="009524D9">
        <w:rPr>
          <w:sz w:val="18"/>
          <w:szCs w:val="18"/>
        </w:rPr>
        <w:t>Southwest</w:t>
      </w:r>
      <w:r w:rsidRPr="009524D9">
        <w:rPr>
          <w:sz w:val="18"/>
          <w:szCs w:val="18"/>
        </w:rPr>
        <w:t xml:space="preserve"> is one of the largest of the 16 workforce regions in Massachusetts.</w:t>
      </w:r>
    </w:p>
    <w:p w:rsidR="00155C66" w:rsidRPr="009524D9" w:rsidRDefault="00155C66" w:rsidP="009524D9">
      <w:pPr>
        <w:rPr>
          <w:sz w:val="18"/>
          <w:szCs w:val="18"/>
        </w:rPr>
      </w:pPr>
      <w:r w:rsidRPr="009524D9">
        <w:rPr>
          <w:sz w:val="18"/>
          <w:szCs w:val="18"/>
        </w:rPr>
        <w:t>The Metro Southwest (MSW) region contains communities that are defined by high-growth, high-paying knowledge and innovation industries, exceptional educational attainment and outstanding research and education institutions.</w:t>
      </w:r>
    </w:p>
    <w:p w:rsidR="00F363F3" w:rsidRPr="009524D9" w:rsidRDefault="00D11D24" w:rsidP="009524D9">
      <w:pPr>
        <w:rPr>
          <w:sz w:val="18"/>
          <w:szCs w:val="18"/>
        </w:rPr>
      </w:pPr>
      <w:r w:rsidRPr="009524D9">
        <w:rPr>
          <w:sz w:val="18"/>
          <w:szCs w:val="18"/>
        </w:rPr>
        <w:t>MSW is a college labor market in which jobs requiring post-secondary education dominate</w:t>
      </w:r>
      <w:r w:rsidR="00126743" w:rsidRPr="009524D9">
        <w:rPr>
          <w:sz w:val="18"/>
          <w:szCs w:val="18"/>
        </w:rPr>
        <w:t xml:space="preserve"> and college-educated residents thrive. Those without post-secondary education do not</w:t>
      </w:r>
      <w:r w:rsidRPr="009524D9">
        <w:rPr>
          <w:sz w:val="18"/>
          <w:szCs w:val="18"/>
        </w:rPr>
        <w:t xml:space="preserve">. </w:t>
      </w:r>
    </w:p>
    <w:p w:rsidR="009524D9" w:rsidRPr="009524D9" w:rsidRDefault="009524D9" w:rsidP="009524D9">
      <w:pPr>
        <w:rPr>
          <w:sz w:val="8"/>
        </w:rPr>
        <w:sectPr w:rsidR="009524D9" w:rsidRPr="009524D9" w:rsidSect="000073E1">
          <w:footnotePr>
            <w:numFmt w:val="lowerRoman"/>
          </w:footnotePr>
          <w:endnotePr>
            <w:numFmt w:val="decimal"/>
          </w:endnotePr>
          <w:type w:val="continuous"/>
          <w:pgSz w:w="12240" w:h="15840"/>
          <w:pgMar w:top="1440" w:right="1440" w:bottom="1440" w:left="1440" w:header="720" w:footer="720" w:gutter="0"/>
          <w:cols w:space="720"/>
          <w:docGrid w:linePitch="360"/>
        </w:sectPr>
      </w:pPr>
    </w:p>
    <w:p w:rsidR="003957C2" w:rsidRDefault="003957C2" w:rsidP="009524D9">
      <w:pPr>
        <w:pStyle w:val="Heading1"/>
        <w:rPr>
          <w:sz w:val="2"/>
        </w:rPr>
      </w:pPr>
      <w:r w:rsidRPr="009524D9">
        <w:rPr>
          <w:sz w:val="20"/>
        </w:rPr>
        <w:lastRenderedPageBreak/>
        <w:t>The Great Recession and the Recovery</w:t>
      </w:r>
    </w:p>
    <w:p w:rsidR="003957C2" w:rsidRDefault="003957C2" w:rsidP="009524D9">
      <w:pPr>
        <w:pStyle w:val="Heading2"/>
        <w:rPr>
          <w:sz w:val="2"/>
          <w:szCs w:val="2"/>
        </w:rPr>
      </w:pPr>
      <w:r w:rsidRPr="009524D9">
        <w:rPr>
          <w:sz w:val="20"/>
          <w:szCs w:val="20"/>
        </w:rPr>
        <w:t xml:space="preserve">MSW employment level </w:t>
      </w:r>
      <w:r w:rsidR="00471FDB" w:rsidRPr="009524D9">
        <w:rPr>
          <w:sz w:val="20"/>
          <w:szCs w:val="20"/>
        </w:rPr>
        <w:t xml:space="preserve">exceeds employment at </w:t>
      </w:r>
      <w:r w:rsidRPr="009524D9">
        <w:rPr>
          <w:sz w:val="20"/>
          <w:szCs w:val="20"/>
        </w:rPr>
        <w:t>the beginning of the recession</w:t>
      </w:r>
    </w:p>
    <w:p w:rsidR="004347D7" w:rsidRPr="004347D7" w:rsidRDefault="004347D7" w:rsidP="009524D9">
      <w:pPr>
        <w:rPr>
          <w:spacing w:val="-5"/>
          <w:sz w:val="4"/>
          <w:szCs w:val="18"/>
        </w:rPr>
        <w:sectPr w:rsidR="004347D7" w:rsidRPr="004347D7" w:rsidSect="00F76A48">
          <w:footnotePr>
            <w:numFmt w:val="lowerRoman"/>
          </w:footnotePr>
          <w:endnotePr>
            <w:numFmt w:val="decimal"/>
          </w:endnotePr>
          <w:type w:val="continuous"/>
          <w:pgSz w:w="12240" w:h="15840"/>
          <w:pgMar w:top="1440" w:right="1440" w:bottom="1440" w:left="1440" w:header="720" w:footer="720" w:gutter="0"/>
          <w:cols w:space="720"/>
          <w:docGrid w:linePitch="360"/>
        </w:sectPr>
      </w:pPr>
    </w:p>
    <w:p w:rsidR="00DC0830" w:rsidRPr="009524D9" w:rsidRDefault="004C2418" w:rsidP="009524D9">
      <w:pPr>
        <w:rPr>
          <w:spacing w:val="-5"/>
          <w:sz w:val="18"/>
          <w:szCs w:val="18"/>
        </w:rPr>
      </w:pPr>
      <w:r w:rsidRPr="009524D9">
        <w:rPr>
          <w:spacing w:val="-5"/>
          <w:sz w:val="18"/>
          <w:szCs w:val="18"/>
        </w:rPr>
        <w:lastRenderedPageBreak/>
        <w:t>MSW lost 3.3%</w:t>
      </w:r>
      <w:r w:rsidR="00DC0830" w:rsidRPr="009524D9">
        <w:rPr>
          <w:spacing w:val="-5"/>
          <w:sz w:val="18"/>
          <w:szCs w:val="18"/>
        </w:rPr>
        <w:t xml:space="preserve"> </w:t>
      </w:r>
      <w:r w:rsidRPr="009524D9">
        <w:rPr>
          <w:spacing w:val="-5"/>
          <w:sz w:val="18"/>
          <w:szCs w:val="18"/>
        </w:rPr>
        <w:t>jobs in the Great Recession, while job loss in the state as a whole was 4.0%.</w:t>
      </w:r>
      <w:r w:rsidRPr="009524D9">
        <w:rPr>
          <w:rStyle w:val="EndnoteReference"/>
          <w:spacing w:val="-5"/>
          <w:sz w:val="18"/>
          <w:szCs w:val="18"/>
        </w:rPr>
        <w:endnoteReference w:id="1"/>
      </w:r>
    </w:p>
    <w:p w:rsidR="00DC0830" w:rsidRPr="009524D9" w:rsidRDefault="00DC0830" w:rsidP="009524D9">
      <w:pPr>
        <w:rPr>
          <w:spacing w:val="-5"/>
          <w:sz w:val="18"/>
          <w:szCs w:val="18"/>
        </w:rPr>
      </w:pPr>
      <w:r w:rsidRPr="009524D9">
        <w:rPr>
          <w:spacing w:val="-5"/>
          <w:sz w:val="18"/>
          <w:szCs w:val="18"/>
        </w:rPr>
        <w:t>MSW had the strongest growth among all state’s regional labor markets, increasing 2.6% between the fourth quarters of 2009 and 2010.</w:t>
      </w:r>
      <w:r w:rsidRPr="009524D9">
        <w:rPr>
          <w:rStyle w:val="EndnoteReference"/>
          <w:spacing w:val="-5"/>
          <w:sz w:val="18"/>
          <w:szCs w:val="18"/>
        </w:rPr>
        <w:endnoteReference w:id="2"/>
      </w:r>
    </w:p>
    <w:p w:rsidR="00DC0830" w:rsidRPr="009524D9" w:rsidRDefault="00DC0830" w:rsidP="009524D9">
      <w:pPr>
        <w:rPr>
          <w:sz w:val="18"/>
          <w:szCs w:val="18"/>
        </w:rPr>
      </w:pPr>
      <w:r w:rsidRPr="009524D9">
        <w:rPr>
          <w:sz w:val="18"/>
          <w:szCs w:val="18"/>
        </w:rPr>
        <w:t xml:space="preserve">In the first quarter of 2008, there were 468,967 jobs in the region. In the </w:t>
      </w:r>
      <w:r w:rsidR="00671064" w:rsidRPr="009524D9">
        <w:rPr>
          <w:sz w:val="18"/>
          <w:szCs w:val="18"/>
        </w:rPr>
        <w:t xml:space="preserve">third </w:t>
      </w:r>
      <w:r w:rsidR="007E3009" w:rsidRPr="009524D9">
        <w:rPr>
          <w:sz w:val="18"/>
          <w:szCs w:val="18"/>
        </w:rPr>
        <w:t>q</w:t>
      </w:r>
      <w:r w:rsidRPr="009524D9">
        <w:rPr>
          <w:sz w:val="18"/>
          <w:szCs w:val="18"/>
        </w:rPr>
        <w:t>uarter of 201</w:t>
      </w:r>
      <w:r w:rsidR="007E3009" w:rsidRPr="009524D9">
        <w:rPr>
          <w:sz w:val="18"/>
          <w:szCs w:val="18"/>
        </w:rPr>
        <w:t>3</w:t>
      </w:r>
      <w:r w:rsidRPr="009524D9">
        <w:rPr>
          <w:sz w:val="18"/>
          <w:szCs w:val="18"/>
        </w:rPr>
        <w:t>, em</w:t>
      </w:r>
      <w:r w:rsidR="00A55CF9" w:rsidRPr="009524D9">
        <w:rPr>
          <w:sz w:val="18"/>
          <w:szCs w:val="18"/>
        </w:rPr>
        <w:softHyphen/>
      </w:r>
      <w:r w:rsidR="00471FDB" w:rsidRPr="009524D9">
        <w:rPr>
          <w:sz w:val="18"/>
          <w:szCs w:val="18"/>
        </w:rPr>
        <w:t xml:space="preserve">ployment at 496,153 </w:t>
      </w:r>
      <w:r w:rsidR="007E3009" w:rsidRPr="009524D9">
        <w:rPr>
          <w:sz w:val="18"/>
          <w:szCs w:val="18"/>
        </w:rPr>
        <w:t>exceeded 2008 employment</w:t>
      </w:r>
      <w:r w:rsidRPr="009524D9">
        <w:rPr>
          <w:sz w:val="18"/>
          <w:szCs w:val="18"/>
        </w:rPr>
        <w:t>.</w:t>
      </w:r>
      <w:r w:rsidRPr="009524D9">
        <w:rPr>
          <w:rStyle w:val="EndnoteReference"/>
          <w:sz w:val="18"/>
          <w:szCs w:val="18"/>
        </w:rPr>
        <w:endnoteReference w:id="3"/>
      </w:r>
    </w:p>
    <w:p w:rsidR="009524D9" w:rsidRPr="009524D9" w:rsidRDefault="009524D9" w:rsidP="009524D9">
      <w:pPr>
        <w:rPr>
          <w:sz w:val="8"/>
          <w:szCs w:val="20"/>
        </w:rPr>
        <w:sectPr w:rsidR="009524D9" w:rsidRPr="009524D9" w:rsidSect="000073E1">
          <w:footnotePr>
            <w:numFmt w:val="lowerRoman"/>
          </w:footnotePr>
          <w:endnotePr>
            <w:numFmt w:val="decimal"/>
          </w:endnotePr>
          <w:type w:val="continuous"/>
          <w:pgSz w:w="12240" w:h="15840"/>
          <w:pgMar w:top="1440" w:right="1440" w:bottom="1440" w:left="1440" w:header="720" w:footer="720" w:gutter="0"/>
          <w:cols w:space="720"/>
          <w:docGrid w:linePitch="360"/>
        </w:sectPr>
      </w:pPr>
    </w:p>
    <w:p w:rsidR="003957C2" w:rsidRDefault="00965D8E" w:rsidP="009524D9">
      <w:pPr>
        <w:pStyle w:val="Heading2"/>
        <w:spacing w:after="360"/>
        <w:rPr>
          <w:sz w:val="2"/>
          <w:szCs w:val="20"/>
        </w:rPr>
      </w:pPr>
      <w:r w:rsidRPr="009524D9">
        <w:rPr>
          <w:sz w:val="20"/>
          <w:szCs w:val="20"/>
        </w:rPr>
        <w:lastRenderedPageBreak/>
        <w:t>Like the state as a whole, t</w:t>
      </w:r>
      <w:r w:rsidR="002539CB" w:rsidRPr="009524D9">
        <w:rPr>
          <w:sz w:val="20"/>
          <w:szCs w:val="20"/>
        </w:rPr>
        <w:t>he recovery has spanned industries</w:t>
      </w:r>
    </w:p>
    <w:p w:rsidR="009524D9" w:rsidRPr="009524D9" w:rsidRDefault="009524D9" w:rsidP="009524D9">
      <w:pPr>
        <w:rPr>
          <w:sz w:val="2"/>
          <w:szCs w:val="2"/>
        </w:rPr>
      </w:pPr>
    </w:p>
    <w:tbl>
      <w:tblPr>
        <w:tblW w:w="6830" w:type="dxa"/>
        <w:jc w:val="center"/>
        <w:tblInd w:w="93" w:type="dxa"/>
        <w:tblLook w:val="04A0"/>
      </w:tblPr>
      <w:tblGrid>
        <w:gridCol w:w="2945"/>
        <w:gridCol w:w="1290"/>
        <w:gridCol w:w="1219"/>
        <w:gridCol w:w="1376"/>
      </w:tblGrid>
      <w:tr w:rsidR="00655179" w:rsidRPr="00656821" w:rsidTr="009524D9">
        <w:trPr>
          <w:trHeight w:val="254"/>
          <w:jc w:val="center"/>
        </w:trPr>
        <w:tc>
          <w:tcPr>
            <w:tcW w:w="6830" w:type="dxa"/>
            <w:gridSpan w:val="4"/>
            <w:tcBorders>
              <w:top w:val="single" w:sz="8" w:space="0" w:color="auto"/>
              <w:left w:val="single" w:sz="8" w:space="0" w:color="auto"/>
              <w:bottom w:val="single" w:sz="8" w:space="0" w:color="auto"/>
              <w:right w:val="single" w:sz="8" w:space="0" w:color="auto"/>
            </w:tcBorders>
            <w:shd w:val="clear" w:color="auto" w:fill="8DB3E2" w:themeFill="text2" w:themeFillTint="66"/>
            <w:noWrap/>
            <w:vAlign w:val="center"/>
            <w:hideMark/>
          </w:tcPr>
          <w:p w:rsidR="00655179" w:rsidRPr="00656821" w:rsidRDefault="00656821" w:rsidP="00656821">
            <w:pPr>
              <w:pStyle w:val="Title"/>
            </w:pPr>
            <w:r w:rsidRPr="00656821">
              <w:t>EMPLOYMENT IN KEY METRO SOUTHWEST INDUSTRY SUPERSECTORS</w:t>
            </w:r>
          </w:p>
        </w:tc>
      </w:tr>
      <w:tr w:rsidR="00655179" w:rsidRPr="002739FA" w:rsidTr="009524D9">
        <w:trPr>
          <w:trHeight w:val="254"/>
          <w:jc w:val="center"/>
        </w:trPr>
        <w:tc>
          <w:tcPr>
            <w:tcW w:w="2945" w:type="dxa"/>
            <w:tcBorders>
              <w:top w:val="nil"/>
              <w:left w:val="single" w:sz="8" w:space="0" w:color="auto"/>
              <w:bottom w:val="single" w:sz="12" w:space="0" w:color="auto"/>
              <w:right w:val="single" w:sz="8" w:space="0" w:color="auto"/>
            </w:tcBorders>
            <w:shd w:val="clear" w:color="auto" w:fill="auto"/>
            <w:noWrap/>
            <w:vAlign w:val="center"/>
            <w:hideMark/>
          </w:tcPr>
          <w:p w:rsidR="00655179" w:rsidRPr="002739FA" w:rsidRDefault="00655179" w:rsidP="002739FA">
            <w:pPr>
              <w:pStyle w:val="Subtitle"/>
            </w:pPr>
            <w:r w:rsidRPr="002739FA">
              <w:t>Industry</w:t>
            </w:r>
          </w:p>
        </w:tc>
        <w:tc>
          <w:tcPr>
            <w:tcW w:w="1290" w:type="dxa"/>
            <w:tcBorders>
              <w:top w:val="nil"/>
              <w:left w:val="nil"/>
              <w:bottom w:val="single" w:sz="12" w:space="0" w:color="auto"/>
              <w:right w:val="single" w:sz="8" w:space="0" w:color="auto"/>
            </w:tcBorders>
            <w:shd w:val="clear" w:color="auto" w:fill="auto"/>
            <w:noWrap/>
            <w:vAlign w:val="center"/>
            <w:hideMark/>
          </w:tcPr>
          <w:p w:rsidR="00655179" w:rsidRPr="002739FA" w:rsidRDefault="00655179" w:rsidP="002739FA">
            <w:pPr>
              <w:pStyle w:val="Subtitle"/>
            </w:pPr>
            <w:r w:rsidRPr="002739FA">
              <w:t>Q1/2008</w:t>
            </w:r>
          </w:p>
        </w:tc>
        <w:tc>
          <w:tcPr>
            <w:tcW w:w="1219" w:type="dxa"/>
            <w:tcBorders>
              <w:top w:val="nil"/>
              <w:left w:val="nil"/>
              <w:bottom w:val="single" w:sz="12" w:space="0" w:color="auto"/>
              <w:right w:val="single" w:sz="8" w:space="0" w:color="auto"/>
            </w:tcBorders>
            <w:shd w:val="clear" w:color="auto" w:fill="auto"/>
            <w:noWrap/>
            <w:vAlign w:val="center"/>
            <w:hideMark/>
          </w:tcPr>
          <w:p w:rsidR="00655179" w:rsidRPr="002739FA" w:rsidRDefault="00655179" w:rsidP="007E3009">
            <w:pPr>
              <w:pStyle w:val="Subtitle"/>
            </w:pPr>
            <w:r w:rsidRPr="002739FA">
              <w:t>Q</w:t>
            </w:r>
            <w:r w:rsidR="007E3009">
              <w:t>2</w:t>
            </w:r>
            <w:r w:rsidRPr="002739FA">
              <w:t>/201</w:t>
            </w:r>
            <w:r w:rsidR="007E3009">
              <w:t>3</w:t>
            </w:r>
          </w:p>
        </w:tc>
        <w:tc>
          <w:tcPr>
            <w:tcW w:w="1376" w:type="dxa"/>
            <w:tcBorders>
              <w:top w:val="nil"/>
              <w:left w:val="nil"/>
              <w:bottom w:val="single" w:sz="12" w:space="0" w:color="auto"/>
              <w:right w:val="single" w:sz="8" w:space="0" w:color="auto"/>
            </w:tcBorders>
            <w:shd w:val="clear" w:color="auto" w:fill="auto"/>
            <w:noWrap/>
            <w:vAlign w:val="center"/>
            <w:hideMark/>
          </w:tcPr>
          <w:p w:rsidR="00655179" w:rsidRPr="002739FA" w:rsidRDefault="00655179" w:rsidP="002739FA">
            <w:pPr>
              <w:pStyle w:val="Subtitle"/>
            </w:pPr>
            <w:r w:rsidRPr="002739FA">
              <w:t>% Difference</w:t>
            </w:r>
          </w:p>
        </w:tc>
      </w:tr>
      <w:tr w:rsidR="00655179" w:rsidRPr="00DC1009" w:rsidTr="009524D9">
        <w:trPr>
          <w:trHeight w:val="254"/>
          <w:jc w:val="center"/>
        </w:trPr>
        <w:tc>
          <w:tcPr>
            <w:tcW w:w="2945"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655179" w:rsidRPr="004E756E" w:rsidRDefault="00655179" w:rsidP="00DA26D0">
            <w:pPr>
              <w:pStyle w:val="TableBody"/>
              <w:jc w:val="left"/>
            </w:pPr>
            <w:r w:rsidRPr="004E756E">
              <w:t>Scientific Research &amp; Development</w:t>
            </w:r>
          </w:p>
        </w:tc>
        <w:tc>
          <w:tcPr>
            <w:tcW w:w="1290" w:type="dxa"/>
            <w:tcBorders>
              <w:top w:val="single" w:sz="12" w:space="0" w:color="auto"/>
              <w:left w:val="nil"/>
              <w:bottom w:val="single" w:sz="8" w:space="0" w:color="auto"/>
              <w:right w:val="single" w:sz="8" w:space="0" w:color="auto"/>
            </w:tcBorders>
            <w:shd w:val="clear" w:color="auto" w:fill="auto"/>
            <w:noWrap/>
            <w:vAlign w:val="center"/>
            <w:hideMark/>
          </w:tcPr>
          <w:p w:rsidR="00655179" w:rsidRPr="004E756E" w:rsidRDefault="00655179" w:rsidP="00DA26D0">
            <w:pPr>
              <w:pStyle w:val="TableBody"/>
            </w:pPr>
            <w:r w:rsidRPr="004E756E">
              <w:t>9,837</w:t>
            </w:r>
          </w:p>
        </w:tc>
        <w:tc>
          <w:tcPr>
            <w:tcW w:w="1219" w:type="dxa"/>
            <w:tcBorders>
              <w:top w:val="single" w:sz="12" w:space="0" w:color="auto"/>
              <w:left w:val="nil"/>
              <w:bottom w:val="single" w:sz="8" w:space="0" w:color="auto"/>
              <w:right w:val="single" w:sz="8" w:space="0" w:color="auto"/>
            </w:tcBorders>
            <w:shd w:val="clear" w:color="auto" w:fill="auto"/>
            <w:noWrap/>
            <w:vAlign w:val="center"/>
            <w:hideMark/>
          </w:tcPr>
          <w:p w:rsidR="00655179" w:rsidRPr="004E756E" w:rsidRDefault="007E3009" w:rsidP="007E3009">
            <w:pPr>
              <w:pStyle w:val="TableBody"/>
            </w:pPr>
            <w:r>
              <w:t>12,129</w:t>
            </w:r>
          </w:p>
        </w:tc>
        <w:tc>
          <w:tcPr>
            <w:tcW w:w="1376" w:type="dxa"/>
            <w:tcBorders>
              <w:top w:val="single" w:sz="12" w:space="0" w:color="auto"/>
              <w:left w:val="nil"/>
              <w:bottom w:val="single" w:sz="8" w:space="0" w:color="auto"/>
              <w:right w:val="single" w:sz="8" w:space="0" w:color="auto"/>
            </w:tcBorders>
            <w:shd w:val="clear" w:color="auto" w:fill="auto"/>
            <w:noWrap/>
            <w:vAlign w:val="center"/>
            <w:hideMark/>
          </w:tcPr>
          <w:p w:rsidR="00655179" w:rsidRPr="004E756E" w:rsidRDefault="00655179" w:rsidP="007E3009">
            <w:pPr>
              <w:pStyle w:val="TableBody"/>
            </w:pPr>
            <w:r w:rsidRPr="004E756E">
              <w:t>2</w:t>
            </w:r>
            <w:r w:rsidR="007E3009">
              <w:t>3.3</w:t>
            </w:r>
            <w:r w:rsidRPr="004E756E">
              <w:t>%</w:t>
            </w:r>
          </w:p>
        </w:tc>
      </w:tr>
      <w:tr w:rsidR="00655179" w:rsidRPr="00DC1009" w:rsidTr="009524D9">
        <w:trPr>
          <w:trHeight w:val="254"/>
          <w:jc w:val="center"/>
        </w:trPr>
        <w:tc>
          <w:tcPr>
            <w:tcW w:w="2945" w:type="dxa"/>
            <w:tcBorders>
              <w:top w:val="nil"/>
              <w:left w:val="single" w:sz="8" w:space="0" w:color="auto"/>
              <w:bottom w:val="single" w:sz="8" w:space="0" w:color="auto"/>
              <w:right w:val="single" w:sz="8" w:space="0" w:color="auto"/>
            </w:tcBorders>
            <w:shd w:val="clear" w:color="auto" w:fill="auto"/>
            <w:noWrap/>
            <w:vAlign w:val="center"/>
            <w:hideMark/>
          </w:tcPr>
          <w:p w:rsidR="00655179" w:rsidRPr="004E756E" w:rsidRDefault="00655179" w:rsidP="00DA26D0">
            <w:pPr>
              <w:pStyle w:val="TableBody"/>
              <w:jc w:val="left"/>
            </w:pPr>
            <w:r w:rsidRPr="004E756E">
              <w:t>Computer Systems Design</w:t>
            </w:r>
          </w:p>
        </w:tc>
        <w:tc>
          <w:tcPr>
            <w:tcW w:w="1290" w:type="dxa"/>
            <w:tcBorders>
              <w:top w:val="nil"/>
              <w:left w:val="nil"/>
              <w:bottom w:val="single" w:sz="8" w:space="0" w:color="auto"/>
              <w:right w:val="single" w:sz="8" w:space="0" w:color="auto"/>
            </w:tcBorders>
            <w:shd w:val="clear" w:color="auto" w:fill="auto"/>
            <w:noWrap/>
            <w:vAlign w:val="center"/>
            <w:hideMark/>
          </w:tcPr>
          <w:p w:rsidR="00655179" w:rsidRPr="004E756E" w:rsidRDefault="00655179" w:rsidP="00DA26D0">
            <w:pPr>
              <w:pStyle w:val="TableBody"/>
            </w:pPr>
            <w:r w:rsidRPr="004E756E">
              <w:t>19,425</w:t>
            </w:r>
          </w:p>
        </w:tc>
        <w:tc>
          <w:tcPr>
            <w:tcW w:w="1219" w:type="dxa"/>
            <w:tcBorders>
              <w:top w:val="nil"/>
              <w:left w:val="nil"/>
              <w:bottom w:val="single" w:sz="8" w:space="0" w:color="auto"/>
              <w:right w:val="single" w:sz="8" w:space="0" w:color="auto"/>
            </w:tcBorders>
            <w:shd w:val="clear" w:color="auto" w:fill="auto"/>
            <w:noWrap/>
            <w:vAlign w:val="center"/>
            <w:hideMark/>
          </w:tcPr>
          <w:p w:rsidR="00655179" w:rsidRPr="004E756E" w:rsidRDefault="00655179" w:rsidP="007E3009">
            <w:pPr>
              <w:pStyle w:val="TableBody"/>
            </w:pPr>
            <w:r w:rsidRPr="004E756E">
              <w:t>2</w:t>
            </w:r>
            <w:r w:rsidR="007E3009">
              <w:t>3,809</w:t>
            </w:r>
          </w:p>
        </w:tc>
        <w:tc>
          <w:tcPr>
            <w:tcW w:w="1376" w:type="dxa"/>
            <w:tcBorders>
              <w:top w:val="nil"/>
              <w:left w:val="nil"/>
              <w:bottom w:val="single" w:sz="8" w:space="0" w:color="auto"/>
              <w:right w:val="single" w:sz="8" w:space="0" w:color="auto"/>
            </w:tcBorders>
            <w:shd w:val="clear" w:color="auto" w:fill="auto"/>
            <w:noWrap/>
            <w:vAlign w:val="center"/>
            <w:hideMark/>
          </w:tcPr>
          <w:p w:rsidR="00655179" w:rsidRPr="004E756E" w:rsidRDefault="007E3009" w:rsidP="007E3009">
            <w:pPr>
              <w:pStyle w:val="TableBody"/>
            </w:pPr>
            <w:r>
              <w:t>22.6</w:t>
            </w:r>
            <w:r w:rsidR="00655179" w:rsidRPr="004E756E">
              <w:t>%</w:t>
            </w:r>
          </w:p>
        </w:tc>
      </w:tr>
      <w:tr w:rsidR="00655179" w:rsidRPr="00DC1009" w:rsidTr="009524D9">
        <w:trPr>
          <w:trHeight w:val="254"/>
          <w:jc w:val="center"/>
        </w:trPr>
        <w:tc>
          <w:tcPr>
            <w:tcW w:w="2945" w:type="dxa"/>
            <w:tcBorders>
              <w:top w:val="nil"/>
              <w:left w:val="single" w:sz="8" w:space="0" w:color="auto"/>
              <w:bottom w:val="single" w:sz="8" w:space="0" w:color="auto"/>
              <w:right w:val="single" w:sz="8" w:space="0" w:color="auto"/>
            </w:tcBorders>
            <w:shd w:val="clear" w:color="auto" w:fill="auto"/>
            <w:noWrap/>
            <w:vAlign w:val="center"/>
            <w:hideMark/>
          </w:tcPr>
          <w:p w:rsidR="00655179" w:rsidRPr="004E756E" w:rsidRDefault="00655179" w:rsidP="00DA26D0">
            <w:pPr>
              <w:pStyle w:val="TableBody"/>
              <w:jc w:val="left"/>
            </w:pPr>
            <w:r w:rsidRPr="004E756E">
              <w:t>Health Care</w:t>
            </w:r>
          </w:p>
        </w:tc>
        <w:tc>
          <w:tcPr>
            <w:tcW w:w="1290" w:type="dxa"/>
            <w:tcBorders>
              <w:top w:val="nil"/>
              <w:left w:val="nil"/>
              <w:bottom w:val="single" w:sz="8" w:space="0" w:color="auto"/>
              <w:right w:val="single" w:sz="8" w:space="0" w:color="auto"/>
            </w:tcBorders>
            <w:shd w:val="clear" w:color="auto" w:fill="auto"/>
            <w:noWrap/>
            <w:vAlign w:val="center"/>
            <w:hideMark/>
          </w:tcPr>
          <w:p w:rsidR="00655179" w:rsidRPr="004E756E" w:rsidRDefault="007E3009" w:rsidP="007E3009">
            <w:pPr>
              <w:pStyle w:val="TableBody"/>
            </w:pPr>
            <w:r>
              <w:t>45,708</w:t>
            </w:r>
          </w:p>
        </w:tc>
        <w:tc>
          <w:tcPr>
            <w:tcW w:w="1219" w:type="dxa"/>
            <w:tcBorders>
              <w:top w:val="nil"/>
              <w:left w:val="nil"/>
              <w:bottom w:val="single" w:sz="8" w:space="0" w:color="auto"/>
              <w:right w:val="single" w:sz="8" w:space="0" w:color="auto"/>
            </w:tcBorders>
            <w:shd w:val="clear" w:color="auto" w:fill="auto"/>
            <w:noWrap/>
            <w:vAlign w:val="center"/>
            <w:hideMark/>
          </w:tcPr>
          <w:p w:rsidR="00655179" w:rsidRPr="004E756E" w:rsidRDefault="007E3009" w:rsidP="007E3009">
            <w:pPr>
              <w:pStyle w:val="TableBody"/>
            </w:pPr>
            <w:r>
              <w:t>52,814</w:t>
            </w:r>
          </w:p>
        </w:tc>
        <w:tc>
          <w:tcPr>
            <w:tcW w:w="1376" w:type="dxa"/>
            <w:tcBorders>
              <w:top w:val="nil"/>
              <w:left w:val="nil"/>
              <w:bottom w:val="single" w:sz="8" w:space="0" w:color="auto"/>
              <w:right w:val="single" w:sz="8" w:space="0" w:color="auto"/>
            </w:tcBorders>
            <w:shd w:val="clear" w:color="auto" w:fill="auto"/>
            <w:noWrap/>
            <w:vAlign w:val="center"/>
            <w:hideMark/>
          </w:tcPr>
          <w:p w:rsidR="00655179" w:rsidRPr="004E756E" w:rsidRDefault="00655179" w:rsidP="007E3009">
            <w:pPr>
              <w:pStyle w:val="TableBody"/>
            </w:pPr>
            <w:r w:rsidRPr="004E756E">
              <w:t>1</w:t>
            </w:r>
            <w:r w:rsidR="007E3009">
              <w:t>5.5</w:t>
            </w:r>
            <w:r w:rsidRPr="004E756E">
              <w:t>%</w:t>
            </w:r>
          </w:p>
        </w:tc>
      </w:tr>
      <w:tr w:rsidR="00655179" w:rsidRPr="00DC1009" w:rsidTr="009524D9">
        <w:trPr>
          <w:trHeight w:val="254"/>
          <w:jc w:val="center"/>
        </w:trPr>
        <w:tc>
          <w:tcPr>
            <w:tcW w:w="2945" w:type="dxa"/>
            <w:tcBorders>
              <w:top w:val="nil"/>
              <w:left w:val="single" w:sz="8" w:space="0" w:color="auto"/>
              <w:bottom w:val="single" w:sz="8" w:space="0" w:color="auto"/>
              <w:right w:val="single" w:sz="8" w:space="0" w:color="auto"/>
            </w:tcBorders>
            <w:shd w:val="clear" w:color="auto" w:fill="auto"/>
            <w:noWrap/>
            <w:vAlign w:val="center"/>
            <w:hideMark/>
          </w:tcPr>
          <w:p w:rsidR="00655179" w:rsidRPr="004E756E" w:rsidRDefault="00655179" w:rsidP="00DA26D0">
            <w:pPr>
              <w:pStyle w:val="TableBody"/>
              <w:jc w:val="left"/>
            </w:pPr>
            <w:r w:rsidRPr="004E756E">
              <w:t>Professional &amp; Technical Services</w:t>
            </w:r>
          </w:p>
        </w:tc>
        <w:tc>
          <w:tcPr>
            <w:tcW w:w="1290" w:type="dxa"/>
            <w:tcBorders>
              <w:top w:val="nil"/>
              <w:left w:val="nil"/>
              <w:bottom w:val="single" w:sz="8" w:space="0" w:color="auto"/>
              <w:right w:val="single" w:sz="8" w:space="0" w:color="auto"/>
            </w:tcBorders>
            <w:shd w:val="clear" w:color="auto" w:fill="auto"/>
            <w:noWrap/>
            <w:vAlign w:val="center"/>
            <w:hideMark/>
          </w:tcPr>
          <w:p w:rsidR="00655179" w:rsidRPr="004E756E" w:rsidRDefault="00655179" w:rsidP="00DA26D0">
            <w:pPr>
              <w:pStyle w:val="TableBody"/>
            </w:pPr>
            <w:r w:rsidRPr="004E756E">
              <w:t>66,422</w:t>
            </w:r>
          </w:p>
        </w:tc>
        <w:tc>
          <w:tcPr>
            <w:tcW w:w="1219" w:type="dxa"/>
            <w:tcBorders>
              <w:top w:val="nil"/>
              <w:left w:val="nil"/>
              <w:bottom w:val="single" w:sz="8" w:space="0" w:color="auto"/>
              <w:right w:val="single" w:sz="8" w:space="0" w:color="auto"/>
            </w:tcBorders>
            <w:shd w:val="clear" w:color="auto" w:fill="auto"/>
            <w:noWrap/>
            <w:vAlign w:val="center"/>
            <w:hideMark/>
          </w:tcPr>
          <w:p w:rsidR="00655179" w:rsidRPr="004E756E" w:rsidRDefault="00655179" w:rsidP="007E3009">
            <w:pPr>
              <w:pStyle w:val="TableBody"/>
            </w:pPr>
            <w:r w:rsidRPr="004E756E">
              <w:t>6</w:t>
            </w:r>
            <w:r w:rsidR="007E3009">
              <w:t>7,569</w:t>
            </w:r>
          </w:p>
        </w:tc>
        <w:tc>
          <w:tcPr>
            <w:tcW w:w="1376" w:type="dxa"/>
            <w:tcBorders>
              <w:top w:val="nil"/>
              <w:left w:val="nil"/>
              <w:bottom w:val="single" w:sz="8" w:space="0" w:color="auto"/>
              <w:right w:val="single" w:sz="8" w:space="0" w:color="auto"/>
            </w:tcBorders>
            <w:shd w:val="clear" w:color="auto" w:fill="auto"/>
            <w:noWrap/>
            <w:vAlign w:val="center"/>
            <w:hideMark/>
          </w:tcPr>
          <w:p w:rsidR="00655179" w:rsidRPr="004E756E" w:rsidRDefault="007E3009" w:rsidP="007E3009">
            <w:pPr>
              <w:pStyle w:val="TableBody"/>
            </w:pPr>
            <w:r>
              <w:t>1.7</w:t>
            </w:r>
            <w:r w:rsidR="00655179" w:rsidRPr="004E756E">
              <w:t>%</w:t>
            </w:r>
          </w:p>
        </w:tc>
      </w:tr>
      <w:tr w:rsidR="00655179" w:rsidRPr="00DC1009" w:rsidTr="009524D9">
        <w:trPr>
          <w:trHeight w:val="254"/>
          <w:jc w:val="center"/>
        </w:trPr>
        <w:tc>
          <w:tcPr>
            <w:tcW w:w="2945" w:type="dxa"/>
            <w:tcBorders>
              <w:top w:val="nil"/>
              <w:left w:val="single" w:sz="8" w:space="0" w:color="auto"/>
              <w:bottom w:val="single" w:sz="8" w:space="0" w:color="auto"/>
              <w:right w:val="single" w:sz="8" w:space="0" w:color="auto"/>
            </w:tcBorders>
            <w:shd w:val="clear" w:color="auto" w:fill="auto"/>
            <w:noWrap/>
            <w:vAlign w:val="center"/>
            <w:hideMark/>
          </w:tcPr>
          <w:p w:rsidR="00655179" w:rsidRPr="004E756E" w:rsidRDefault="00655179" w:rsidP="00DA26D0">
            <w:pPr>
              <w:pStyle w:val="TableBody"/>
              <w:jc w:val="left"/>
            </w:pPr>
            <w:r w:rsidRPr="004E756E">
              <w:t>Telecommun</w:t>
            </w:r>
            <w:r w:rsidR="00951FE5" w:rsidRPr="004E756E">
              <w:t>i</w:t>
            </w:r>
            <w:r w:rsidRPr="004E756E">
              <w:t>cations</w:t>
            </w:r>
          </w:p>
        </w:tc>
        <w:tc>
          <w:tcPr>
            <w:tcW w:w="1290" w:type="dxa"/>
            <w:tcBorders>
              <w:top w:val="nil"/>
              <w:left w:val="nil"/>
              <w:bottom w:val="single" w:sz="8" w:space="0" w:color="auto"/>
              <w:right w:val="single" w:sz="8" w:space="0" w:color="auto"/>
            </w:tcBorders>
            <w:shd w:val="clear" w:color="auto" w:fill="auto"/>
            <w:noWrap/>
            <w:vAlign w:val="center"/>
            <w:hideMark/>
          </w:tcPr>
          <w:p w:rsidR="00655179" w:rsidRPr="004E756E" w:rsidRDefault="00655179" w:rsidP="00DA26D0">
            <w:pPr>
              <w:pStyle w:val="TableBody"/>
            </w:pPr>
            <w:r w:rsidRPr="004E756E">
              <w:t>1,788</w:t>
            </w:r>
          </w:p>
        </w:tc>
        <w:tc>
          <w:tcPr>
            <w:tcW w:w="1219" w:type="dxa"/>
            <w:tcBorders>
              <w:top w:val="nil"/>
              <w:left w:val="nil"/>
              <w:bottom w:val="single" w:sz="8" w:space="0" w:color="auto"/>
              <w:right w:val="single" w:sz="8" w:space="0" w:color="auto"/>
            </w:tcBorders>
            <w:shd w:val="clear" w:color="auto" w:fill="auto"/>
            <w:noWrap/>
            <w:vAlign w:val="center"/>
            <w:hideMark/>
          </w:tcPr>
          <w:p w:rsidR="00655179" w:rsidRPr="004E756E" w:rsidRDefault="007E3009" w:rsidP="007E3009">
            <w:pPr>
              <w:pStyle w:val="TableBody"/>
            </w:pPr>
            <w:r>
              <w:t>2,589</w:t>
            </w:r>
          </w:p>
        </w:tc>
        <w:tc>
          <w:tcPr>
            <w:tcW w:w="1376" w:type="dxa"/>
            <w:tcBorders>
              <w:top w:val="nil"/>
              <w:left w:val="nil"/>
              <w:bottom w:val="single" w:sz="8" w:space="0" w:color="auto"/>
              <w:right w:val="single" w:sz="8" w:space="0" w:color="auto"/>
            </w:tcBorders>
            <w:shd w:val="clear" w:color="auto" w:fill="auto"/>
            <w:noWrap/>
            <w:vAlign w:val="center"/>
            <w:hideMark/>
          </w:tcPr>
          <w:p w:rsidR="00655179" w:rsidRPr="004E756E" w:rsidRDefault="007E3009" w:rsidP="007E3009">
            <w:pPr>
              <w:pStyle w:val="TableBody"/>
            </w:pPr>
            <w:r>
              <w:t>44.8</w:t>
            </w:r>
            <w:r w:rsidR="00655179" w:rsidRPr="004E756E">
              <w:t>%</w:t>
            </w:r>
          </w:p>
        </w:tc>
      </w:tr>
      <w:tr w:rsidR="00655179" w:rsidRPr="009524D9" w:rsidTr="009524D9">
        <w:trPr>
          <w:trHeight w:val="254"/>
          <w:jc w:val="center"/>
        </w:trPr>
        <w:tc>
          <w:tcPr>
            <w:tcW w:w="2945" w:type="dxa"/>
            <w:tcBorders>
              <w:top w:val="nil"/>
              <w:left w:val="single" w:sz="8" w:space="0" w:color="auto"/>
              <w:bottom w:val="single" w:sz="8" w:space="0" w:color="auto"/>
              <w:right w:val="single" w:sz="8" w:space="0" w:color="auto"/>
            </w:tcBorders>
            <w:shd w:val="clear" w:color="auto" w:fill="auto"/>
            <w:noWrap/>
            <w:vAlign w:val="center"/>
            <w:hideMark/>
          </w:tcPr>
          <w:p w:rsidR="00655179" w:rsidRPr="004E756E" w:rsidRDefault="00655179" w:rsidP="00DA26D0">
            <w:pPr>
              <w:pStyle w:val="TableBody"/>
              <w:jc w:val="left"/>
            </w:pPr>
            <w:r w:rsidRPr="004E756E">
              <w:t>Manufacturing</w:t>
            </w:r>
          </w:p>
        </w:tc>
        <w:tc>
          <w:tcPr>
            <w:tcW w:w="1290" w:type="dxa"/>
            <w:tcBorders>
              <w:top w:val="nil"/>
              <w:left w:val="nil"/>
              <w:bottom w:val="single" w:sz="8" w:space="0" w:color="auto"/>
              <w:right w:val="single" w:sz="8" w:space="0" w:color="auto"/>
            </w:tcBorders>
            <w:shd w:val="clear" w:color="auto" w:fill="auto"/>
            <w:noWrap/>
            <w:vAlign w:val="center"/>
            <w:hideMark/>
          </w:tcPr>
          <w:p w:rsidR="00655179" w:rsidRPr="004E756E" w:rsidRDefault="00655179" w:rsidP="00DA26D0">
            <w:pPr>
              <w:pStyle w:val="TableBody"/>
            </w:pPr>
            <w:r w:rsidRPr="004E756E">
              <w:t>55,564</w:t>
            </w:r>
          </w:p>
        </w:tc>
        <w:tc>
          <w:tcPr>
            <w:tcW w:w="1219" w:type="dxa"/>
            <w:tcBorders>
              <w:top w:val="nil"/>
              <w:left w:val="nil"/>
              <w:bottom w:val="single" w:sz="8" w:space="0" w:color="auto"/>
              <w:right w:val="single" w:sz="8" w:space="0" w:color="auto"/>
            </w:tcBorders>
            <w:shd w:val="clear" w:color="auto" w:fill="auto"/>
            <w:noWrap/>
            <w:vAlign w:val="center"/>
            <w:hideMark/>
          </w:tcPr>
          <w:p w:rsidR="00655179" w:rsidRPr="004E756E" w:rsidRDefault="00655179" w:rsidP="007E3009">
            <w:pPr>
              <w:pStyle w:val="TableBody"/>
            </w:pPr>
            <w:r w:rsidRPr="004E756E">
              <w:t>5</w:t>
            </w:r>
            <w:r w:rsidR="007E3009">
              <w:t>1,929</w:t>
            </w:r>
          </w:p>
        </w:tc>
        <w:tc>
          <w:tcPr>
            <w:tcW w:w="1376" w:type="dxa"/>
            <w:tcBorders>
              <w:top w:val="nil"/>
              <w:left w:val="nil"/>
              <w:bottom w:val="single" w:sz="8" w:space="0" w:color="auto"/>
              <w:right w:val="single" w:sz="8" w:space="0" w:color="auto"/>
            </w:tcBorders>
            <w:shd w:val="clear" w:color="auto" w:fill="auto"/>
            <w:noWrap/>
            <w:vAlign w:val="center"/>
            <w:hideMark/>
          </w:tcPr>
          <w:p w:rsidR="00655179" w:rsidRPr="004E756E" w:rsidRDefault="007E3009" w:rsidP="007E3009">
            <w:pPr>
              <w:pStyle w:val="TableBody"/>
            </w:pPr>
            <w:r>
              <w:t>6.5</w:t>
            </w:r>
            <w:r w:rsidR="00655179" w:rsidRPr="004E756E">
              <w:t>%</w:t>
            </w:r>
          </w:p>
        </w:tc>
      </w:tr>
    </w:tbl>
    <w:p w:rsidR="002D24C2" w:rsidRPr="009524D9" w:rsidRDefault="009524D9" w:rsidP="009524D9">
      <w:pPr>
        <w:pStyle w:val="Heading2"/>
        <w:rPr>
          <w:sz w:val="20"/>
          <w:szCs w:val="20"/>
        </w:rPr>
      </w:pPr>
      <w:r>
        <w:rPr>
          <w:sz w:val="20"/>
          <w:szCs w:val="20"/>
        </w:rPr>
        <w:t>Jo</w:t>
      </w:r>
      <w:r w:rsidR="002D24C2" w:rsidRPr="009524D9">
        <w:rPr>
          <w:sz w:val="20"/>
          <w:szCs w:val="20"/>
        </w:rPr>
        <w:t>b vacancies rates rising</w:t>
      </w:r>
    </w:p>
    <w:p w:rsidR="00FD0615" w:rsidRDefault="00FD0615" w:rsidP="009524D9">
      <w:pPr>
        <w:sectPr w:rsidR="00FD0615" w:rsidSect="009524D9">
          <w:footnotePr>
            <w:numFmt w:val="lowerRoman"/>
          </w:footnotePr>
          <w:endnotePr>
            <w:numFmt w:val="decimal"/>
          </w:endnotePr>
          <w:type w:val="continuous"/>
          <w:pgSz w:w="12240" w:h="15840"/>
          <w:pgMar w:top="1440" w:right="1440" w:bottom="1440" w:left="1440" w:header="720" w:footer="720" w:gutter="0"/>
          <w:cols w:space="720"/>
          <w:docGrid w:linePitch="360"/>
        </w:sectPr>
      </w:pPr>
    </w:p>
    <w:p w:rsidR="00773A43" w:rsidRPr="004347D7" w:rsidRDefault="002D24C2" w:rsidP="009524D9">
      <w:r>
        <w:lastRenderedPageBreak/>
        <w:t>The job vacancy rate in Greater Boston was 3.4% at the end of 2007, declining by more than a per</w:t>
      </w:r>
      <w:r w:rsidR="00A55CF9">
        <w:softHyphen/>
      </w:r>
      <w:r>
        <w:t>centage point at the end</w:t>
      </w:r>
      <w:r w:rsidR="00A55CF9">
        <w:t xml:space="preserve"> of 2009 and rising to near 3.0</w:t>
      </w:r>
      <w:r>
        <w:t>% as the economy recover</w:t>
      </w:r>
      <w:r w:rsidR="00965D8E">
        <w:t>ed</w:t>
      </w:r>
      <w:r>
        <w:t>. Greater Boston has 45% of employment, but 55</w:t>
      </w:r>
      <w:r w:rsidR="00981847">
        <w:t>%</w:t>
      </w:r>
      <w:r>
        <w:t xml:space="preserve"> of the vacancies across the state.</w:t>
      </w:r>
      <w:r>
        <w:rPr>
          <w:rStyle w:val="EndnoteReference"/>
        </w:rPr>
        <w:endnoteReference w:id="4"/>
      </w:r>
    </w:p>
    <w:p w:rsidR="009524D9" w:rsidRPr="009524D9" w:rsidRDefault="009524D9" w:rsidP="009524D9">
      <w:pPr>
        <w:rPr>
          <w:sz w:val="2"/>
        </w:rPr>
      </w:pPr>
    </w:p>
    <w:p w:rsidR="009524D9" w:rsidRPr="009524D9" w:rsidRDefault="002D24C2" w:rsidP="00773A43">
      <w:pPr>
        <w:sectPr w:rsidR="009524D9" w:rsidRPr="009524D9" w:rsidSect="001A74BF">
          <w:footnotePr>
            <w:numFmt w:val="lowerRoman"/>
          </w:footnotePr>
          <w:endnotePr>
            <w:numFmt w:val="decimal"/>
          </w:endnotePr>
          <w:type w:val="continuous"/>
          <w:pgSz w:w="12240" w:h="15840"/>
          <w:pgMar w:top="1440" w:right="1440" w:bottom="1440" w:left="1440" w:header="720" w:footer="720" w:gutter="0"/>
          <w:cols w:space="720"/>
          <w:docGrid w:linePitch="360"/>
        </w:sectPr>
      </w:pPr>
      <w:r>
        <w:t xml:space="preserve">In the fourth quarter of </w:t>
      </w:r>
      <w:r w:rsidR="00806BBC">
        <w:t>2</w:t>
      </w:r>
      <w:r w:rsidR="00471FDB">
        <w:t xml:space="preserve">010, the most recent data available, </w:t>
      </w:r>
      <w:r>
        <w:t xml:space="preserve">the total vacancies in </w:t>
      </w:r>
      <w:r w:rsidR="00425DD7">
        <w:t>G</w:t>
      </w:r>
      <w:r>
        <w:t>reater Boston were 42,880. The largest num</w:t>
      </w:r>
      <w:r w:rsidR="00A55CF9">
        <w:softHyphen/>
      </w:r>
      <w:r>
        <w:t>bers were in sales, 8,798; office and administrative support, 4,737; business and financial operations, 4,079, computer and mathematical</w:t>
      </w:r>
      <w:r w:rsidR="00A55CF9">
        <w:t xml:space="preserve"> jobs, 4,092; management, 3,562;</w:t>
      </w:r>
      <w:r>
        <w:t xml:space="preserve"> </w:t>
      </w:r>
      <w:r w:rsidR="00965D8E">
        <w:t xml:space="preserve">and </w:t>
      </w:r>
      <w:r>
        <w:t>food preparation and serving, 3,917.</w:t>
      </w:r>
      <w:r>
        <w:rPr>
          <w:rStyle w:val="EndnoteReference"/>
        </w:rPr>
        <w:endnoteReference w:id="5"/>
      </w:r>
    </w:p>
    <w:p w:rsidR="00773A43" w:rsidRDefault="00773A43" w:rsidP="00773A43">
      <w:pPr>
        <w:rPr>
          <w:sz w:val="8"/>
        </w:rPr>
      </w:pPr>
    </w:p>
    <w:p w:rsidR="00773A43" w:rsidRDefault="00773A43" w:rsidP="00773A43">
      <w:pPr>
        <w:rPr>
          <w:sz w:val="8"/>
        </w:rPr>
      </w:pPr>
    </w:p>
    <w:p w:rsidR="00773A43" w:rsidRDefault="00773A43" w:rsidP="00773A43">
      <w:pPr>
        <w:rPr>
          <w:sz w:val="8"/>
        </w:rPr>
      </w:pPr>
    </w:p>
    <w:p w:rsidR="00773A43" w:rsidRPr="00773A43" w:rsidRDefault="00773A43" w:rsidP="00773A43">
      <w:pPr>
        <w:rPr>
          <w:sz w:val="8"/>
        </w:rPr>
        <w:sectPr w:rsidR="00773A43" w:rsidRPr="00773A43" w:rsidSect="001A74BF">
          <w:footnotePr>
            <w:numFmt w:val="lowerRoman"/>
          </w:footnotePr>
          <w:endnotePr>
            <w:numFmt w:val="decimal"/>
          </w:endnotePr>
          <w:type w:val="continuous"/>
          <w:pgSz w:w="12240" w:h="15840"/>
          <w:pgMar w:top="1440" w:right="1440" w:bottom="1440" w:left="1440" w:header="720" w:footer="720" w:gutter="0"/>
          <w:cols w:num="2" w:space="720"/>
          <w:docGrid w:linePitch="360"/>
        </w:sectPr>
      </w:pPr>
    </w:p>
    <w:p w:rsidR="002539CB" w:rsidRPr="002C308B" w:rsidRDefault="002539CB" w:rsidP="002C308B">
      <w:pPr>
        <w:pStyle w:val="Heading2"/>
        <w:rPr>
          <w:sz w:val="20"/>
          <w:szCs w:val="20"/>
        </w:rPr>
      </w:pPr>
      <w:r w:rsidRPr="002C308B">
        <w:rPr>
          <w:sz w:val="20"/>
          <w:szCs w:val="20"/>
        </w:rPr>
        <w:lastRenderedPageBreak/>
        <w:t>Unemployment remains the lowest in the state</w:t>
      </w:r>
      <w:r w:rsidR="008F76C3" w:rsidRPr="002C308B">
        <w:rPr>
          <w:sz w:val="20"/>
          <w:szCs w:val="20"/>
        </w:rPr>
        <w:t>, but almost 40% experience long periods of joblessness</w:t>
      </w:r>
    </w:p>
    <w:p w:rsidR="002C308B" w:rsidRPr="002C308B" w:rsidRDefault="002C308B" w:rsidP="002C308B">
      <w:pPr>
        <w:rPr>
          <w:sz w:val="4"/>
          <w:szCs w:val="4"/>
        </w:rPr>
        <w:sectPr w:rsidR="002C308B" w:rsidRPr="002C308B" w:rsidSect="00F76A48">
          <w:footnotePr>
            <w:numFmt w:val="lowerRoman"/>
          </w:footnotePr>
          <w:endnotePr>
            <w:numFmt w:val="decimal"/>
          </w:endnotePr>
          <w:type w:val="continuous"/>
          <w:pgSz w:w="12240" w:h="15840"/>
          <w:pgMar w:top="1440" w:right="1440" w:bottom="1440" w:left="1440" w:header="720" w:footer="720" w:gutter="0"/>
          <w:cols w:space="720"/>
          <w:docGrid w:linePitch="360"/>
        </w:sectPr>
      </w:pPr>
    </w:p>
    <w:p w:rsidR="003957C2" w:rsidRPr="002C308B" w:rsidRDefault="003957C2" w:rsidP="002C308B">
      <w:pPr>
        <w:rPr>
          <w:sz w:val="18"/>
          <w:szCs w:val="18"/>
        </w:rPr>
      </w:pPr>
      <w:r w:rsidRPr="002C308B">
        <w:rPr>
          <w:sz w:val="18"/>
          <w:szCs w:val="18"/>
        </w:rPr>
        <w:lastRenderedPageBreak/>
        <w:t>The unemployment rate in MSW jumped to 6.5% during the recession, up from 3% in 2007—the lowest among all workforce regions in the state.</w:t>
      </w:r>
      <w:r w:rsidRPr="002C308B">
        <w:rPr>
          <w:rStyle w:val="EndnoteReference"/>
          <w:sz w:val="18"/>
          <w:szCs w:val="18"/>
        </w:rPr>
        <w:endnoteReference w:id="6"/>
      </w:r>
    </w:p>
    <w:p w:rsidR="003957C2" w:rsidRPr="002C308B" w:rsidRDefault="003957C2" w:rsidP="002C308B">
      <w:pPr>
        <w:rPr>
          <w:sz w:val="18"/>
          <w:szCs w:val="18"/>
        </w:rPr>
      </w:pPr>
      <w:r w:rsidRPr="002C308B">
        <w:rPr>
          <w:sz w:val="18"/>
          <w:szCs w:val="18"/>
        </w:rPr>
        <w:t>The MSW rate increased over the past year—from 5.2% in June 2012 to 5.8% in June 2013, still well below the state rate of 7.</w:t>
      </w:r>
      <w:r w:rsidR="007E3009" w:rsidRPr="002C308B">
        <w:rPr>
          <w:sz w:val="18"/>
          <w:szCs w:val="18"/>
        </w:rPr>
        <w:t>4</w:t>
      </w:r>
      <w:r w:rsidRPr="002C308B">
        <w:rPr>
          <w:sz w:val="18"/>
          <w:szCs w:val="18"/>
        </w:rPr>
        <w:t>%.</w:t>
      </w:r>
      <w:r w:rsidRPr="002C308B">
        <w:rPr>
          <w:rStyle w:val="EndnoteReference"/>
          <w:sz w:val="18"/>
          <w:szCs w:val="18"/>
        </w:rPr>
        <w:endnoteReference w:id="7"/>
      </w:r>
    </w:p>
    <w:p w:rsidR="003957C2" w:rsidRPr="002C308B" w:rsidRDefault="003957C2" w:rsidP="002C308B">
      <w:pPr>
        <w:rPr>
          <w:sz w:val="18"/>
          <w:szCs w:val="18"/>
        </w:rPr>
      </w:pPr>
      <w:r w:rsidRPr="002C308B">
        <w:rPr>
          <w:sz w:val="18"/>
          <w:szCs w:val="18"/>
        </w:rPr>
        <w:t>In June 2013, 29,413 people were unemployed, an increase of 3,205 over the past year—11% of the state’s unemployed.</w:t>
      </w:r>
      <w:r w:rsidRPr="002C308B">
        <w:rPr>
          <w:rStyle w:val="EndnoteReference"/>
          <w:sz w:val="18"/>
          <w:szCs w:val="18"/>
        </w:rPr>
        <w:endnoteReference w:id="8"/>
      </w:r>
    </w:p>
    <w:p w:rsidR="00827084" w:rsidRPr="002C308B" w:rsidRDefault="00827084" w:rsidP="002C308B">
      <w:pPr>
        <w:rPr>
          <w:b/>
          <w:i/>
          <w:sz w:val="18"/>
          <w:szCs w:val="18"/>
        </w:rPr>
      </w:pPr>
      <w:r w:rsidRPr="002C308B">
        <w:rPr>
          <w:sz w:val="18"/>
          <w:szCs w:val="18"/>
        </w:rPr>
        <w:t>In July 2013, 37.0% of the unemployed had been unemployed for 27 weeks or longer. The average weekly spell of unemployment was slightly over 36 weeks. The median was 15.7 weeks.</w:t>
      </w:r>
      <w:r w:rsidRPr="002C308B">
        <w:rPr>
          <w:rStyle w:val="EndnoteReference"/>
          <w:sz w:val="18"/>
          <w:szCs w:val="18"/>
        </w:rPr>
        <w:endnoteReference w:id="9"/>
      </w:r>
    </w:p>
    <w:p w:rsidR="00F37C38" w:rsidRPr="002C308B" w:rsidRDefault="00F37C38" w:rsidP="002C308B">
      <w:pPr>
        <w:pStyle w:val="Heading2"/>
        <w:rPr>
          <w:sz w:val="18"/>
        </w:rPr>
        <w:sectPr w:rsidR="00F37C38" w:rsidRPr="002C308B" w:rsidSect="00FB66AA">
          <w:footnotePr>
            <w:numFmt w:val="lowerRoman"/>
          </w:footnotePr>
          <w:endnotePr>
            <w:numFmt w:val="decimal"/>
          </w:endnotePr>
          <w:type w:val="continuous"/>
          <w:pgSz w:w="12240" w:h="15840"/>
          <w:pgMar w:top="1440" w:right="1440" w:bottom="1440" w:left="1440" w:header="720" w:footer="720" w:gutter="0"/>
          <w:cols w:space="720"/>
          <w:docGrid w:linePitch="360"/>
        </w:sectPr>
      </w:pPr>
    </w:p>
    <w:p w:rsidR="0037424E" w:rsidRPr="002C308B" w:rsidRDefault="0037424E" w:rsidP="002C308B">
      <w:pPr>
        <w:pStyle w:val="Heading2"/>
        <w:rPr>
          <w:sz w:val="20"/>
          <w:szCs w:val="20"/>
        </w:rPr>
      </w:pPr>
      <w:r w:rsidRPr="002C308B">
        <w:rPr>
          <w:sz w:val="20"/>
          <w:szCs w:val="20"/>
        </w:rPr>
        <w:lastRenderedPageBreak/>
        <w:t>The unemployed in MSW were older and more educated than the unemployed in the state as a whole</w:t>
      </w:r>
    </w:p>
    <w:p w:rsidR="006D76CD" w:rsidRDefault="0037424E" w:rsidP="006D76CD">
      <w:pPr>
        <w:rPr>
          <w:sz w:val="18"/>
          <w:szCs w:val="18"/>
        </w:rPr>
      </w:pPr>
      <w:r w:rsidRPr="002C308B">
        <w:rPr>
          <w:sz w:val="18"/>
          <w:szCs w:val="18"/>
        </w:rPr>
        <w:t>O</w:t>
      </w:r>
      <w:r w:rsidR="002D24C2" w:rsidRPr="002C308B">
        <w:rPr>
          <w:sz w:val="18"/>
          <w:szCs w:val="18"/>
        </w:rPr>
        <w:t>ne-third of the unemployed have a high school diploma or less, compared to one-half in the state.</w:t>
      </w:r>
      <w:r w:rsidRPr="002C308B">
        <w:rPr>
          <w:sz w:val="18"/>
          <w:szCs w:val="18"/>
        </w:rPr>
        <w:t xml:space="preserve"> However, as a consequence of the highly educated workforce in MSW, 46.7% of the unemployed in MSW have a bachelor’s degree or higher, substantially higher than the 22.8% statewide.</w:t>
      </w:r>
      <w:r w:rsidR="002D24C2" w:rsidRPr="002C308B">
        <w:rPr>
          <w:rStyle w:val="EndnoteReference"/>
          <w:sz w:val="18"/>
          <w:szCs w:val="18"/>
        </w:rPr>
        <w:endnoteReference w:id="10"/>
      </w:r>
    </w:p>
    <w:p w:rsidR="006D76CD" w:rsidRPr="006D76CD" w:rsidRDefault="006D76CD" w:rsidP="006D76CD">
      <w:pPr>
        <w:rPr>
          <w:b/>
          <w:sz w:val="4"/>
          <w:szCs w:val="4"/>
        </w:rPr>
      </w:pPr>
    </w:p>
    <w:p w:rsidR="00425DD7" w:rsidRPr="006D76CD" w:rsidRDefault="00425DD7" w:rsidP="006D76CD">
      <w:pPr>
        <w:rPr>
          <w:b/>
          <w:sz w:val="18"/>
          <w:szCs w:val="18"/>
        </w:rPr>
      </w:pPr>
      <w:r w:rsidRPr="006D76CD">
        <w:rPr>
          <w:b/>
          <w:szCs w:val="20"/>
        </w:rPr>
        <w:t>Youth did not fare well in the recession</w:t>
      </w:r>
    </w:p>
    <w:p w:rsidR="00425DD7" w:rsidRPr="002C308B" w:rsidRDefault="00425DD7" w:rsidP="002C308B">
      <w:pPr>
        <w:rPr>
          <w:sz w:val="18"/>
          <w:szCs w:val="18"/>
        </w:rPr>
      </w:pPr>
      <w:r w:rsidRPr="002C308B">
        <w:rPr>
          <w:sz w:val="18"/>
          <w:szCs w:val="18"/>
        </w:rPr>
        <w:t>17.5% of the unemployed are ages 16</w:t>
      </w:r>
      <w:r w:rsidR="00471FDB" w:rsidRPr="002C308B">
        <w:rPr>
          <w:sz w:val="18"/>
          <w:szCs w:val="18"/>
        </w:rPr>
        <w:t xml:space="preserve"> to </w:t>
      </w:r>
      <w:r w:rsidRPr="002C308B">
        <w:rPr>
          <w:sz w:val="18"/>
          <w:szCs w:val="18"/>
        </w:rPr>
        <w:t>24, but they are only 9.</w:t>
      </w:r>
      <w:r w:rsidR="00471FDB" w:rsidRPr="002C308B">
        <w:rPr>
          <w:sz w:val="18"/>
          <w:szCs w:val="18"/>
        </w:rPr>
        <w:t xml:space="preserve">5% of the workforce. However, youth unemployment in Metro Southwest </w:t>
      </w:r>
      <w:r w:rsidRPr="002C308B">
        <w:rPr>
          <w:sz w:val="18"/>
          <w:szCs w:val="18"/>
        </w:rPr>
        <w:t xml:space="preserve">is significantly </w:t>
      </w:r>
      <w:r w:rsidR="00471FDB" w:rsidRPr="002C308B">
        <w:rPr>
          <w:sz w:val="18"/>
          <w:szCs w:val="18"/>
        </w:rPr>
        <w:t>below the state as a whole</w:t>
      </w:r>
      <w:r w:rsidR="007E3009" w:rsidRPr="002C308B">
        <w:rPr>
          <w:sz w:val="18"/>
          <w:szCs w:val="18"/>
        </w:rPr>
        <w:t xml:space="preserve">. </w:t>
      </w:r>
      <w:r w:rsidRPr="002C308B">
        <w:rPr>
          <w:sz w:val="18"/>
          <w:szCs w:val="18"/>
        </w:rPr>
        <w:t>26.4% of the unemployed in the s</w:t>
      </w:r>
      <w:r w:rsidR="000E2616" w:rsidRPr="002C308B">
        <w:rPr>
          <w:sz w:val="18"/>
          <w:szCs w:val="18"/>
        </w:rPr>
        <w:t>tate are between the ages of 16</w:t>
      </w:r>
      <w:r w:rsidR="00471FDB" w:rsidRPr="002C308B">
        <w:rPr>
          <w:sz w:val="18"/>
          <w:szCs w:val="18"/>
        </w:rPr>
        <w:t xml:space="preserve"> and </w:t>
      </w:r>
      <w:r w:rsidR="000E2616" w:rsidRPr="002C308B">
        <w:rPr>
          <w:sz w:val="18"/>
          <w:szCs w:val="18"/>
        </w:rPr>
        <w:t>2</w:t>
      </w:r>
      <w:r w:rsidRPr="002C308B">
        <w:rPr>
          <w:sz w:val="18"/>
          <w:szCs w:val="18"/>
        </w:rPr>
        <w:t>4.</w:t>
      </w:r>
      <w:r w:rsidRPr="002C308B">
        <w:rPr>
          <w:rStyle w:val="EndnoteReference"/>
          <w:sz w:val="18"/>
          <w:szCs w:val="18"/>
        </w:rPr>
        <w:endnoteReference w:id="11"/>
      </w:r>
    </w:p>
    <w:p w:rsidR="008F76C3" w:rsidRPr="00437487" w:rsidRDefault="008F76C3" w:rsidP="001768EC">
      <w:pPr>
        <w:pStyle w:val="Heading1"/>
        <w:rPr>
          <w:sz w:val="20"/>
        </w:rPr>
      </w:pPr>
      <w:r w:rsidRPr="00437487">
        <w:rPr>
          <w:sz w:val="20"/>
        </w:rPr>
        <w:t>Population</w:t>
      </w:r>
    </w:p>
    <w:p w:rsidR="008F76C3" w:rsidRPr="002C308B" w:rsidRDefault="008F76C3" w:rsidP="00FE35BF">
      <w:pPr>
        <w:pStyle w:val="Heading2"/>
        <w:rPr>
          <w:sz w:val="20"/>
          <w:szCs w:val="20"/>
        </w:rPr>
      </w:pPr>
      <w:r w:rsidRPr="002C308B">
        <w:rPr>
          <w:sz w:val="20"/>
          <w:szCs w:val="20"/>
        </w:rPr>
        <w:t>Without the influx of immigrants, the population in MSW would have declined over the past decade</w:t>
      </w:r>
    </w:p>
    <w:p w:rsidR="002C308B" w:rsidRPr="002C308B" w:rsidRDefault="002C308B" w:rsidP="00592ACC">
      <w:pPr>
        <w:rPr>
          <w:sz w:val="8"/>
          <w:szCs w:val="20"/>
        </w:rPr>
        <w:sectPr w:rsidR="002C308B" w:rsidRPr="002C308B" w:rsidSect="00F76A48">
          <w:footnotePr>
            <w:numFmt w:val="lowerRoman"/>
          </w:footnotePr>
          <w:endnotePr>
            <w:numFmt w:val="decimal"/>
          </w:endnotePr>
          <w:type w:val="continuous"/>
          <w:pgSz w:w="12240" w:h="15840"/>
          <w:pgMar w:top="1440" w:right="1440" w:bottom="1440" w:left="1440" w:header="720" w:footer="720" w:gutter="0"/>
          <w:cols w:space="720"/>
          <w:docGrid w:linePitch="360"/>
        </w:sectPr>
      </w:pPr>
    </w:p>
    <w:p w:rsidR="008F76C3" w:rsidRPr="002C308B" w:rsidRDefault="008F76C3" w:rsidP="00592ACC">
      <w:pPr>
        <w:rPr>
          <w:sz w:val="18"/>
          <w:szCs w:val="18"/>
        </w:rPr>
      </w:pPr>
      <w:r w:rsidRPr="002C308B">
        <w:rPr>
          <w:sz w:val="18"/>
          <w:szCs w:val="18"/>
        </w:rPr>
        <w:lastRenderedPageBreak/>
        <w:t>At 1,038,784 residents, MSW accounted for 16.6% of the state’s population at the end of 2010, behind the Southeast (21%) and Boston/Metro North (19.2%)</w:t>
      </w:r>
      <w:r w:rsidRPr="002C308B">
        <w:rPr>
          <w:rStyle w:val="EndnoteReference"/>
          <w:sz w:val="18"/>
          <w:szCs w:val="18"/>
        </w:rPr>
        <w:endnoteReference w:id="12"/>
      </w:r>
    </w:p>
    <w:p w:rsidR="008F76C3" w:rsidRPr="002C308B" w:rsidRDefault="008F76C3" w:rsidP="00592ACC">
      <w:pPr>
        <w:rPr>
          <w:sz w:val="18"/>
          <w:szCs w:val="18"/>
        </w:rPr>
      </w:pPr>
      <w:r w:rsidRPr="002C308B">
        <w:rPr>
          <w:sz w:val="18"/>
          <w:szCs w:val="18"/>
        </w:rPr>
        <w:t xml:space="preserve">After experiencing the second fastest population growth rate </w:t>
      </w:r>
      <w:r w:rsidR="00806BBC" w:rsidRPr="002C308B">
        <w:rPr>
          <w:sz w:val="18"/>
          <w:szCs w:val="18"/>
        </w:rPr>
        <w:t>(</w:t>
      </w:r>
      <w:r w:rsidRPr="002C308B">
        <w:rPr>
          <w:sz w:val="18"/>
          <w:szCs w:val="18"/>
        </w:rPr>
        <w:t>0.4%) early in the decade, MSW was one of only three regions to experience a decline in population in recent years</w:t>
      </w:r>
      <w:r w:rsidR="001544B4" w:rsidRPr="002C308B">
        <w:rPr>
          <w:sz w:val="18"/>
          <w:szCs w:val="18"/>
        </w:rPr>
        <w:t>—</w:t>
      </w:r>
      <w:r w:rsidRPr="002C308B">
        <w:rPr>
          <w:sz w:val="18"/>
          <w:szCs w:val="18"/>
        </w:rPr>
        <w:t>0.1</w:t>
      </w:r>
      <w:r w:rsidR="00806BBC" w:rsidRPr="002C308B">
        <w:rPr>
          <w:sz w:val="18"/>
          <w:szCs w:val="18"/>
        </w:rPr>
        <w:t>%</w:t>
      </w:r>
      <w:r w:rsidRPr="002C308B">
        <w:rPr>
          <w:sz w:val="18"/>
          <w:szCs w:val="18"/>
        </w:rPr>
        <w:t>.</w:t>
      </w:r>
      <w:r w:rsidRPr="002C308B">
        <w:rPr>
          <w:rStyle w:val="EndnoteReference"/>
          <w:sz w:val="18"/>
          <w:szCs w:val="18"/>
        </w:rPr>
        <w:endnoteReference w:id="13"/>
      </w:r>
    </w:p>
    <w:p w:rsidR="008F76C3" w:rsidRPr="002C308B" w:rsidRDefault="008F76C3" w:rsidP="00592ACC">
      <w:pPr>
        <w:rPr>
          <w:sz w:val="18"/>
          <w:szCs w:val="18"/>
        </w:rPr>
      </w:pPr>
      <w:r w:rsidRPr="002C308B">
        <w:rPr>
          <w:sz w:val="18"/>
          <w:szCs w:val="18"/>
        </w:rPr>
        <w:t>From 877,860 in 2000</w:t>
      </w:r>
      <w:r w:rsidR="00A55CF9" w:rsidRPr="002C308B">
        <w:rPr>
          <w:sz w:val="18"/>
          <w:szCs w:val="18"/>
        </w:rPr>
        <w:t>,</w:t>
      </w:r>
      <w:r w:rsidRPr="002C308B">
        <w:rPr>
          <w:sz w:val="18"/>
          <w:szCs w:val="18"/>
        </w:rPr>
        <w:t xml:space="preserve"> the native born population fell to 859,444 in 2010, while the immigrant popu</w:t>
      </w:r>
      <w:r w:rsidR="00A55CF9" w:rsidRPr="002C308B">
        <w:rPr>
          <w:sz w:val="18"/>
          <w:szCs w:val="18"/>
        </w:rPr>
        <w:softHyphen/>
      </w:r>
      <w:r w:rsidRPr="002C308B">
        <w:rPr>
          <w:sz w:val="18"/>
          <w:szCs w:val="18"/>
        </w:rPr>
        <w:t>lation grew by 2.7% to 179,340 in 2010.</w:t>
      </w:r>
      <w:r w:rsidRPr="002C308B">
        <w:rPr>
          <w:rStyle w:val="EndnoteReference"/>
          <w:sz w:val="18"/>
          <w:szCs w:val="18"/>
        </w:rPr>
        <w:endnoteReference w:id="14"/>
      </w:r>
    </w:p>
    <w:p w:rsidR="008F76C3" w:rsidRPr="002C308B" w:rsidRDefault="008F76C3" w:rsidP="00592ACC">
      <w:pPr>
        <w:rPr>
          <w:sz w:val="18"/>
          <w:szCs w:val="18"/>
        </w:rPr>
      </w:pPr>
      <w:r w:rsidRPr="002C308B">
        <w:rPr>
          <w:sz w:val="18"/>
          <w:szCs w:val="18"/>
        </w:rPr>
        <w:t>In the period 2000</w:t>
      </w:r>
      <w:r w:rsidR="00795431" w:rsidRPr="002C308B">
        <w:rPr>
          <w:sz w:val="18"/>
          <w:szCs w:val="18"/>
        </w:rPr>
        <w:t>–2007, the growth of working-</w:t>
      </w:r>
      <w:r w:rsidRPr="002C308B">
        <w:rPr>
          <w:sz w:val="18"/>
          <w:szCs w:val="18"/>
        </w:rPr>
        <w:t xml:space="preserve">age immigrants was 3.6%, larger than </w:t>
      </w:r>
      <w:r w:rsidR="00795431" w:rsidRPr="002C308B">
        <w:rPr>
          <w:sz w:val="18"/>
          <w:szCs w:val="18"/>
        </w:rPr>
        <w:t xml:space="preserve">in </w:t>
      </w:r>
      <w:r w:rsidRPr="002C308B">
        <w:rPr>
          <w:sz w:val="18"/>
          <w:szCs w:val="18"/>
        </w:rPr>
        <w:t>Massachu</w:t>
      </w:r>
      <w:r w:rsidR="00A55CF9" w:rsidRPr="002C308B">
        <w:rPr>
          <w:sz w:val="18"/>
          <w:szCs w:val="18"/>
        </w:rPr>
        <w:softHyphen/>
      </w:r>
      <w:r w:rsidRPr="002C308B">
        <w:rPr>
          <w:sz w:val="18"/>
          <w:szCs w:val="18"/>
        </w:rPr>
        <w:t xml:space="preserve">setts at 2.8% and </w:t>
      </w:r>
      <w:r w:rsidR="00795431" w:rsidRPr="002C308B">
        <w:rPr>
          <w:sz w:val="18"/>
          <w:szCs w:val="18"/>
        </w:rPr>
        <w:t xml:space="preserve">in </w:t>
      </w:r>
      <w:r w:rsidRPr="002C308B">
        <w:rPr>
          <w:sz w:val="18"/>
          <w:szCs w:val="18"/>
        </w:rPr>
        <w:t xml:space="preserve">the United States at 3.2%. Immigration slowed in 2010 to 1.5%, less than </w:t>
      </w:r>
      <w:r w:rsidR="00795431" w:rsidRPr="002C308B">
        <w:rPr>
          <w:sz w:val="18"/>
          <w:szCs w:val="18"/>
        </w:rPr>
        <w:t xml:space="preserve">in </w:t>
      </w:r>
      <w:r w:rsidRPr="002C308B">
        <w:rPr>
          <w:sz w:val="18"/>
          <w:szCs w:val="18"/>
        </w:rPr>
        <w:t xml:space="preserve">Massachusetts at 2.0% and </w:t>
      </w:r>
      <w:r w:rsidR="00795431" w:rsidRPr="002C308B">
        <w:rPr>
          <w:sz w:val="18"/>
          <w:szCs w:val="18"/>
        </w:rPr>
        <w:t xml:space="preserve">in </w:t>
      </w:r>
      <w:r w:rsidRPr="002C308B">
        <w:rPr>
          <w:sz w:val="18"/>
          <w:szCs w:val="18"/>
        </w:rPr>
        <w:t>the United States at 2.3%.</w:t>
      </w:r>
      <w:r w:rsidRPr="002C308B">
        <w:rPr>
          <w:rStyle w:val="EndnoteReference"/>
          <w:sz w:val="18"/>
          <w:szCs w:val="18"/>
        </w:rPr>
        <w:endnoteReference w:id="15"/>
      </w:r>
    </w:p>
    <w:p w:rsidR="002C308B" w:rsidRPr="002C308B" w:rsidRDefault="008F76C3" w:rsidP="002C308B">
      <w:pPr>
        <w:rPr>
          <w:sz w:val="18"/>
          <w:szCs w:val="18"/>
        </w:rPr>
      </w:pPr>
      <w:r w:rsidRPr="002C308B">
        <w:rPr>
          <w:sz w:val="18"/>
          <w:szCs w:val="18"/>
        </w:rPr>
        <w:t>The region became more ethnically and racially diverse over the decade, with a 6.3% increase in the number of Hispanic and a 5.2% increase in Asian residents.</w:t>
      </w:r>
      <w:r w:rsidRPr="002C308B">
        <w:rPr>
          <w:rStyle w:val="EndnoteReference"/>
          <w:sz w:val="18"/>
          <w:szCs w:val="18"/>
        </w:rPr>
        <w:endnoteReference w:id="16"/>
      </w:r>
    </w:p>
    <w:p w:rsidR="002C308B" w:rsidRDefault="002C308B" w:rsidP="002C308B"/>
    <w:p w:rsidR="002C308B" w:rsidRPr="002C308B" w:rsidRDefault="002C308B" w:rsidP="002C308B">
      <w:pPr>
        <w:sectPr w:rsidR="002C308B" w:rsidRPr="002C308B" w:rsidSect="00FB66AA">
          <w:footnotePr>
            <w:numFmt w:val="lowerRoman"/>
          </w:footnotePr>
          <w:endnotePr>
            <w:numFmt w:val="decimal"/>
          </w:endnotePr>
          <w:type w:val="continuous"/>
          <w:pgSz w:w="12240" w:h="15840"/>
          <w:pgMar w:top="1440" w:right="1440" w:bottom="1440" w:left="1440" w:header="720" w:footer="720" w:gutter="0"/>
          <w:cols w:sep="1" w:space="720"/>
          <w:docGrid w:linePitch="360"/>
        </w:sectPr>
      </w:pPr>
    </w:p>
    <w:p w:rsidR="000B0B6E" w:rsidRPr="00437487" w:rsidRDefault="000B0B6E" w:rsidP="001768EC">
      <w:pPr>
        <w:pStyle w:val="Heading1"/>
        <w:rPr>
          <w:sz w:val="20"/>
        </w:rPr>
      </w:pPr>
      <w:r w:rsidRPr="00437487">
        <w:rPr>
          <w:sz w:val="20"/>
        </w:rPr>
        <w:lastRenderedPageBreak/>
        <w:t>Income Sufficiency</w:t>
      </w:r>
    </w:p>
    <w:p w:rsidR="004E140E" w:rsidRPr="002C308B" w:rsidRDefault="00795431" w:rsidP="002C308B">
      <w:pPr>
        <w:pStyle w:val="Heading2"/>
        <w:rPr>
          <w:sz w:val="20"/>
          <w:szCs w:val="20"/>
        </w:rPr>
      </w:pPr>
      <w:r w:rsidRPr="002C308B">
        <w:rPr>
          <w:sz w:val="20"/>
          <w:szCs w:val="20"/>
        </w:rPr>
        <w:t>MSW is a high-</w:t>
      </w:r>
      <w:r w:rsidR="00447D88" w:rsidRPr="002C308B">
        <w:rPr>
          <w:sz w:val="20"/>
          <w:szCs w:val="20"/>
        </w:rPr>
        <w:t>income region, b</w:t>
      </w:r>
      <w:r w:rsidR="004E140E" w:rsidRPr="002C308B">
        <w:rPr>
          <w:sz w:val="20"/>
          <w:szCs w:val="20"/>
        </w:rPr>
        <w:t>ut not all individuals share in the prosperity</w:t>
      </w:r>
    </w:p>
    <w:p w:rsidR="004A3F2C" w:rsidRPr="002C308B" w:rsidRDefault="004A3F2C" w:rsidP="002C308B">
      <w:pPr>
        <w:rPr>
          <w:sz w:val="18"/>
          <w:szCs w:val="18"/>
        </w:rPr>
        <w:sectPr w:rsidR="004A3F2C" w:rsidRPr="002C308B" w:rsidSect="00F76A48">
          <w:footnotePr>
            <w:numFmt w:val="lowerRoman"/>
          </w:footnotePr>
          <w:endnotePr>
            <w:numFmt w:val="decimal"/>
          </w:endnotePr>
          <w:type w:val="continuous"/>
          <w:pgSz w:w="12240" w:h="15840"/>
          <w:pgMar w:top="1440" w:right="1440" w:bottom="1440" w:left="1440" w:header="720" w:footer="720" w:gutter="0"/>
          <w:cols w:space="720"/>
          <w:docGrid w:linePitch="360"/>
        </w:sectPr>
      </w:pPr>
    </w:p>
    <w:p w:rsidR="0004210D" w:rsidRPr="002C308B" w:rsidRDefault="004E140E" w:rsidP="002C308B">
      <w:pPr>
        <w:rPr>
          <w:sz w:val="18"/>
          <w:szCs w:val="18"/>
        </w:rPr>
      </w:pPr>
      <w:r w:rsidRPr="002C308B">
        <w:rPr>
          <w:sz w:val="18"/>
          <w:szCs w:val="18"/>
        </w:rPr>
        <w:lastRenderedPageBreak/>
        <w:t xml:space="preserve">From </w:t>
      </w:r>
      <w:r w:rsidR="000B0B6E" w:rsidRPr="002C308B">
        <w:rPr>
          <w:sz w:val="18"/>
          <w:szCs w:val="18"/>
        </w:rPr>
        <w:t xml:space="preserve">2007 </w:t>
      </w:r>
      <w:r w:rsidRPr="002C308B">
        <w:rPr>
          <w:sz w:val="18"/>
          <w:szCs w:val="18"/>
        </w:rPr>
        <w:t xml:space="preserve">to </w:t>
      </w:r>
      <w:r w:rsidR="000B0B6E" w:rsidRPr="002C308B">
        <w:rPr>
          <w:sz w:val="18"/>
          <w:szCs w:val="18"/>
        </w:rPr>
        <w:t xml:space="preserve">2011, </w:t>
      </w:r>
      <w:r w:rsidRPr="002C308B">
        <w:rPr>
          <w:sz w:val="18"/>
          <w:szCs w:val="18"/>
        </w:rPr>
        <w:t>t</w:t>
      </w:r>
      <w:r w:rsidR="00447D88" w:rsidRPr="002C308B">
        <w:rPr>
          <w:sz w:val="18"/>
          <w:szCs w:val="18"/>
        </w:rPr>
        <w:t xml:space="preserve">he </w:t>
      </w:r>
      <w:r w:rsidR="000B0B6E" w:rsidRPr="002C308B">
        <w:rPr>
          <w:sz w:val="18"/>
          <w:szCs w:val="18"/>
        </w:rPr>
        <w:t xml:space="preserve">average </w:t>
      </w:r>
      <w:r w:rsidR="00447D88" w:rsidRPr="002C308B">
        <w:rPr>
          <w:sz w:val="18"/>
          <w:szCs w:val="18"/>
        </w:rPr>
        <w:t>median household income was $79,691 in Middlesex County</w:t>
      </w:r>
      <w:r w:rsidRPr="002C308B">
        <w:rPr>
          <w:sz w:val="18"/>
          <w:szCs w:val="18"/>
        </w:rPr>
        <w:t xml:space="preserve"> and $83,733 in Norfolk County</w:t>
      </w:r>
      <w:r w:rsidR="00795431" w:rsidRPr="002C308B">
        <w:rPr>
          <w:sz w:val="18"/>
          <w:szCs w:val="18"/>
        </w:rPr>
        <w:t>,</w:t>
      </w:r>
      <w:r w:rsidRPr="002C308B">
        <w:rPr>
          <w:sz w:val="18"/>
          <w:szCs w:val="18"/>
        </w:rPr>
        <w:t xml:space="preserve"> well above </w:t>
      </w:r>
      <w:r w:rsidR="000B0B6E" w:rsidRPr="002C308B">
        <w:rPr>
          <w:sz w:val="18"/>
          <w:szCs w:val="18"/>
        </w:rPr>
        <w:t>$65,981 in M</w:t>
      </w:r>
      <w:r w:rsidRPr="002C308B">
        <w:rPr>
          <w:sz w:val="18"/>
          <w:szCs w:val="18"/>
        </w:rPr>
        <w:t>assachusetts</w:t>
      </w:r>
      <w:r w:rsidR="00F67882" w:rsidRPr="002C308B">
        <w:rPr>
          <w:sz w:val="18"/>
          <w:szCs w:val="18"/>
        </w:rPr>
        <w:t>.</w:t>
      </w:r>
      <w:r w:rsidR="000B0B6E" w:rsidRPr="002C308B">
        <w:rPr>
          <w:rStyle w:val="EndnoteReference"/>
          <w:sz w:val="18"/>
          <w:szCs w:val="18"/>
        </w:rPr>
        <w:endnoteReference w:id="17"/>
      </w:r>
    </w:p>
    <w:p w:rsidR="000B0B6E" w:rsidRPr="002C308B" w:rsidRDefault="00F67882" w:rsidP="002C308B">
      <w:pPr>
        <w:rPr>
          <w:sz w:val="18"/>
          <w:szCs w:val="18"/>
        </w:rPr>
      </w:pPr>
      <w:r w:rsidRPr="002C308B">
        <w:rPr>
          <w:sz w:val="18"/>
          <w:szCs w:val="18"/>
        </w:rPr>
        <w:t>For the same time period, p</w:t>
      </w:r>
      <w:r w:rsidR="000B0B6E" w:rsidRPr="002C308B">
        <w:rPr>
          <w:sz w:val="18"/>
          <w:szCs w:val="18"/>
        </w:rPr>
        <w:t xml:space="preserve">er capita </w:t>
      </w:r>
      <w:r w:rsidRPr="002C308B">
        <w:rPr>
          <w:sz w:val="18"/>
          <w:szCs w:val="18"/>
        </w:rPr>
        <w:t xml:space="preserve">income in Norfolk County was </w:t>
      </w:r>
      <w:r w:rsidR="000B0B6E" w:rsidRPr="002C308B">
        <w:rPr>
          <w:sz w:val="18"/>
          <w:szCs w:val="18"/>
        </w:rPr>
        <w:t xml:space="preserve">$43,685 </w:t>
      </w:r>
      <w:r w:rsidRPr="002C308B">
        <w:rPr>
          <w:sz w:val="18"/>
          <w:szCs w:val="18"/>
        </w:rPr>
        <w:t xml:space="preserve">and $41,453 in Middlesex County </w:t>
      </w:r>
      <w:r w:rsidR="000B0B6E" w:rsidRPr="002C308B">
        <w:rPr>
          <w:sz w:val="18"/>
          <w:szCs w:val="18"/>
        </w:rPr>
        <w:t xml:space="preserve">compared to </w:t>
      </w:r>
      <w:r w:rsidRPr="002C308B">
        <w:rPr>
          <w:sz w:val="18"/>
          <w:szCs w:val="18"/>
        </w:rPr>
        <w:t xml:space="preserve">the </w:t>
      </w:r>
      <w:r w:rsidR="000B0B6E" w:rsidRPr="002C308B">
        <w:rPr>
          <w:sz w:val="18"/>
          <w:szCs w:val="18"/>
        </w:rPr>
        <w:t>state</w:t>
      </w:r>
      <w:r w:rsidRPr="002C308B">
        <w:rPr>
          <w:sz w:val="18"/>
          <w:szCs w:val="18"/>
        </w:rPr>
        <w:t xml:space="preserve"> per capita income of $35,051</w:t>
      </w:r>
      <w:r w:rsidR="000B0B6E" w:rsidRPr="002C308B">
        <w:rPr>
          <w:sz w:val="18"/>
          <w:szCs w:val="18"/>
        </w:rPr>
        <w:t>.</w:t>
      </w:r>
      <w:r w:rsidR="000B0B6E" w:rsidRPr="002C308B">
        <w:rPr>
          <w:rStyle w:val="EndnoteReference"/>
          <w:sz w:val="18"/>
          <w:szCs w:val="18"/>
        </w:rPr>
        <w:endnoteReference w:id="18"/>
      </w:r>
    </w:p>
    <w:p w:rsidR="000B0B6E" w:rsidRPr="002C308B" w:rsidRDefault="00F67882" w:rsidP="002C308B">
      <w:pPr>
        <w:rPr>
          <w:sz w:val="18"/>
          <w:szCs w:val="18"/>
        </w:rPr>
      </w:pPr>
      <w:r w:rsidRPr="002C308B">
        <w:rPr>
          <w:sz w:val="18"/>
          <w:szCs w:val="18"/>
        </w:rPr>
        <w:t xml:space="preserve">7.7% of the population in Middlesex County and 6.3% of the population in Norfolk County fell at or below the federal poverty level </w:t>
      </w:r>
      <w:r w:rsidR="007D784A" w:rsidRPr="002C308B">
        <w:rPr>
          <w:sz w:val="18"/>
          <w:szCs w:val="18"/>
        </w:rPr>
        <w:t xml:space="preserve">(the federal government defines poverty as $15,510 for a family of two up to $39,630 for a family of 8) </w:t>
      </w:r>
      <w:r w:rsidRPr="002C308B">
        <w:rPr>
          <w:sz w:val="18"/>
          <w:szCs w:val="18"/>
        </w:rPr>
        <w:t>compared to 10.7% of the residents in the state</w:t>
      </w:r>
      <w:r w:rsidR="000B0B6E" w:rsidRPr="002C308B">
        <w:rPr>
          <w:sz w:val="18"/>
          <w:szCs w:val="18"/>
        </w:rPr>
        <w:t>.</w:t>
      </w:r>
      <w:r w:rsidR="000B0B6E" w:rsidRPr="002C308B">
        <w:rPr>
          <w:rStyle w:val="EndnoteReference"/>
          <w:sz w:val="18"/>
          <w:szCs w:val="18"/>
        </w:rPr>
        <w:endnoteReference w:id="19"/>
      </w:r>
    </w:p>
    <w:p w:rsidR="00033986" w:rsidRPr="002C308B" w:rsidRDefault="004E140E" w:rsidP="002C308B">
      <w:pPr>
        <w:rPr>
          <w:sz w:val="18"/>
          <w:szCs w:val="18"/>
        </w:rPr>
      </w:pPr>
      <w:r w:rsidRPr="002C308B">
        <w:rPr>
          <w:sz w:val="18"/>
          <w:szCs w:val="18"/>
        </w:rPr>
        <w:t>Youth poverty</w:t>
      </w:r>
      <w:r w:rsidR="00A27995" w:rsidRPr="002C308B">
        <w:rPr>
          <w:sz w:val="18"/>
          <w:szCs w:val="18"/>
        </w:rPr>
        <w:t xml:space="preserve"> rates for 15</w:t>
      </w:r>
      <w:r w:rsidR="00471FDB" w:rsidRPr="002C308B">
        <w:rPr>
          <w:sz w:val="18"/>
          <w:szCs w:val="18"/>
        </w:rPr>
        <w:t xml:space="preserve"> to </w:t>
      </w:r>
      <w:r w:rsidRPr="002C308B">
        <w:rPr>
          <w:sz w:val="18"/>
          <w:szCs w:val="18"/>
        </w:rPr>
        <w:t>24 year olds in Metro Southwest range from 16.6% in Brookline, 11.5% in Waltham</w:t>
      </w:r>
      <w:r w:rsidR="00A27995" w:rsidRPr="002C308B">
        <w:rPr>
          <w:sz w:val="18"/>
          <w:szCs w:val="18"/>
        </w:rPr>
        <w:t>,</w:t>
      </w:r>
      <w:r w:rsidRPr="002C308B">
        <w:rPr>
          <w:sz w:val="18"/>
          <w:szCs w:val="18"/>
        </w:rPr>
        <w:t xml:space="preserve"> 7.8% in Framingham to 0/0% in Dover. The average </w:t>
      </w:r>
      <w:r w:rsidR="00F67882" w:rsidRPr="002C308B">
        <w:rPr>
          <w:sz w:val="18"/>
          <w:szCs w:val="18"/>
        </w:rPr>
        <w:t xml:space="preserve">poverty rate </w:t>
      </w:r>
      <w:r w:rsidRPr="002C308B">
        <w:rPr>
          <w:sz w:val="18"/>
          <w:szCs w:val="18"/>
        </w:rPr>
        <w:t xml:space="preserve">for </w:t>
      </w:r>
      <w:r w:rsidR="00F67882" w:rsidRPr="002C308B">
        <w:rPr>
          <w:sz w:val="18"/>
          <w:szCs w:val="18"/>
        </w:rPr>
        <w:t xml:space="preserve">all 43 cities and towns </w:t>
      </w:r>
      <w:r w:rsidRPr="002C308B">
        <w:rPr>
          <w:sz w:val="18"/>
          <w:szCs w:val="18"/>
        </w:rPr>
        <w:t>is 4.9%.</w:t>
      </w:r>
    </w:p>
    <w:p w:rsidR="004A3F2C" w:rsidRPr="002C308B" w:rsidRDefault="004A3F2C" w:rsidP="002C308B">
      <w:pPr>
        <w:pStyle w:val="Heading1"/>
        <w:rPr>
          <w:sz w:val="18"/>
          <w:szCs w:val="18"/>
        </w:rPr>
        <w:sectPr w:rsidR="004A3F2C" w:rsidRPr="002C308B" w:rsidSect="00FB66AA">
          <w:footnotePr>
            <w:numFmt w:val="lowerRoman"/>
          </w:footnotePr>
          <w:endnotePr>
            <w:numFmt w:val="decimal"/>
          </w:endnotePr>
          <w:type w:val="continuous"/>
          <w:pgSz w:w="12240" w:h="15840"/>
          <w:pgMar w:top="1440" w:right="1440" w:bottom="1440" w:left="1440" w:header="720" w:footer="720" w:gutter="0"/>
          <w:cols w:space="720"/>
          <w:docGrid w:linePitch="360"/>
        </w:sectPr>
      </w:pPr>
    </w:p>
    <w:p w:rsidR="004C2418" w:rsidRPr="00437487" w:rsidRDefault="002539CB" w:rsidP="002C308B">
      <w:pPr>
        <w:pStyle w:val="Heading1"/>
        <w:rPr>
          <w:sz w:val="20"/>
        </w:rPr>
      </w:pPr>
      <w:r w:rsidRPr="00437487">
        <w:rPr>
          <w:sz w:val="20"/>
        </w:rPr>
        <w:lastRenderedPageBreak/>
        <w:t>The MSW Labor Market</w:t>
      </w:r>
      <w:r w:rsidR="0006097F" w:rsidRPr="00437487">
        <w:rPr>
          <w:sz w:val="20"/>
        </w:rPr>
        <w:t>: Demand</w:t>
      </w:r>
    </w:p>
    <w:p w:rsidR="003957C2" w:rsidRPr="002C308B" w:rsidRDefault="00CC5429" w:rsidP="002C308B">
      <w:pPr>
        <w:pStyle w:val="Heading2"/>
        <w:rPr>
          <w:sz w:val="20"/>
          <w:szCs w:val="20"/>
        </w:rPr>
      </w:pPr>
      <w:r w:rsidRPr="002C308B">
        <w:rPr>
          <w:sz w:val="20"/>
          <w:szCs w:val="20"/>
        </w:rPr>
        <w:t>Second largest labor market in the state</w:t>
      </w:r>
    </w:p>
    <w:p w:rsidR="00AA46D9" w:rsidRPr="002C308B" w:rsidRDefault="003957C2" w:rsidP="002C308B">
      <w:pPr>
        <w:rPr>
          <w:sz w:val="18"/>
          <w:szCs w:val="18"/>
        </w:rPr>
      </w:pPr>
      <w:r w:rsidRPr="002C308B">
        <w:rPr>
          <w:sz w:val="18"/>
          <w:szCs w:val="18"/>
        </w:rPr>
        <w:t>MSW is the second largest labor market in the state with 16.</w:t>
      </w:r>
      <w:r w:rsidR="007E3009" w:rsidRPr="002C308B">
        <w:rPr>
          <w:sz w:val="18"/>
          <w:szCs w:val="18"/>
        </w:rPr>
        <w:t>7</w:t>
      </w:r>
      <w:r w:rsidRPr="002C308B">
        <w:rPr>
          <w:sz w:val="18"/>
          <w:szCs w:val="18"/>
        </w:rPr>
        <w:t>% of the state’s employment or 5</w:t>
      </w:r>
      <w:r w:rsidR="007E3009" w:rsidRPr="002C308B">
        <w:rPr>
          <w:sz w:val="18"/>
          <w:szCs w:val="18"/>
        </w:rPr>
        <w:t xml:space="preserve">52,952 </w:t>
      </w:r>
      <w:r w:rsidRPr="002C308B">
        <w:rPr>
          <w:sz w:val="18"/>
          <w:szCs w:val="18"/>
        </w:rPr>
        <w:t>jobs</w:t>
      </w:r>
      <w:r w:rsidR="007E3009" w:rsidRPr="002C308B">
        <w:rPr>
          <w:sz w:val="18"/>
          <w:szCs w:val="18"/>
        </w:rPr>
        <w:t xml:space="preserve"> and 14.6% of the labor force at 508,257 labor market participants.</w:t>
      </w:r>
      <w:r w:rsidRPr="002C308B">
        <w:rPr>
          <w:rStyle w:val="EndnoteReference"/>
          <w:sz w:val="18"/>
          <w:szCs w:val="18"/>
        </w:rPr>
        <w:endnoteReference w:id="20"/>
      </w:r>
    </w:p>
    <w:p w:rsidR="00033986" w:rsidRPr="002C308B" w:rsidRDefault="00D72928" w:rsidP="002C308B">
      <w:pPr>
        <w:pStyle w:val="Heading2"/>
        <w:spacing w:after="0"/>
        <w:rPr>
          <w:sz w:val="20"/>
          <w:szCs w:val="20"/>
        </w:rPr>
      </w:pPr>
      <w:r w:rsidRPr="002C308B">
        <w:rPr>
          <w:sz w:val="20"/>
          <w:szCs w:val="20"/>
        </w:rPr>
        <w:t>Almost three quarters of the jobs are in education and health services, trade, professional and business services, and manufacturing</w:t>
      </w:r>
    </w:p>
    <w:p w:rsidR="002C308B" w:rsidRDefault="002C308B" w:rsidP="002C308B"/>
    <w:p w:rsidR="00615475" w:rsidRPr="00615475" w:rsidRDefault="00615475" w:rsidP="002C308B">
      <w:pPr>
        <w:rPr>
          <w:sz w:val="6"/>
        </w:rPr>
      </w:pPr>
    </w:p>
    <w:p w:rsidR="00391D3B" w:rsidRDefault="002C308B" w:rsidP="00033986">
      <w:pPr>
        <w:pStyle w:val="Heading2"/>
        <w:keepNext w:val="0"/>
        <w:spacing w:before="120"/>
      </w:pPr>
      <w:r>
        <w:tab/>
      </w:r>
      <w:r w:rsidR="00391D3B">
        <w:rPr>
          <w:noProof/>
        </w:rPr>
        <w:drawing>
          <wp:inline distT="0" distB="0" distL="0" distR="0">
            <wp:extent cx="4885459" cy="2730710"/>
            <wp:effectExtent l="19050" t="0" r="10391"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3551C" w:rsidRDefault="0063551C" w:rsidP="0063551C">
      <w:pPr>
        <w:pStyle w:val="Heading2"/>
        <w:spacing w:before="0"/>
        <w:rPr>
          <w:rFonts w:ascii="Century Schoolbook" w:hAnsi="Century Schoolbook"/>
          <w:b w:val="0"/>
          <w:i w:val="0"/>
          <w:spacing w:val="0"/>
          <w:sz w:val="20"/>
          <w:szCs w:val="22"/>
        </w:rPr>
      </w:pPr>
    </w:p>
    <w:p w:rsidR="00B023C9" w:rsidRPr="0063551C" w:rsidRDefault="000E60A1" w:rsidP="0063551C">
      <w:pPr>
        <w:pStyle w:val="Heading2"/>
        <w:spacing w:before="0"/>
        <w:rPr>
          <w:sz w:val="20"/>
          <w:szCs w:val="20"/>
        </w:rPr>
      </w:pPr>
      <w:r w:rsidRPr="00DD1E24">
        <w:rPr>
          <w:sz w:val="20"/>
          <w:szCs w:val="20"/>
        </w:rPr>
        <w:t xml:space="preserve">One-third of </w:t>
      </w:r>
      <w:r w:rsidR="00F67882" w:rsidRPr="00DD1E24">
        <w:rPr>
          <w:sz w:val="20"/>
          <w:szCs w:val="20"/>
        </w:rPr>
        <w:t xml:space="preserve">Massachusetts </w:t>
      </w:r>
      <w:r w:rsidRPr="00DD1E24">
        <w:rPr>
          <w:sz w:val="20"/>
          <w:szCs w:val="20"/>
        </w:rPr>
        <w:t>k</w:t>
      </w:r>
      <w:r w:rsidR="00CC5429" w:rsidRPr="00DD1E24">
        <w:rPr>
          <w:sz w:val="20"/>
          <w:szCs w:val="20"/>
        </w:rPr>
        <w:t xml:space="preserve">nowledge </w:t>
      </w:r>
      <w:r w:rsidR="00F67882" w:rsidRPr="00DD1E24">
        <w:rPr>
          <w:sz w:val="20"/>
          <w:szCs w:val="20"/>
        </w:rPr>
        <w:t xml:space="preserve">technology </w:t>
      </w:r>
      <w:r w:rsidR="00205217" w:rsidRPr="00DD1E24">
        <w:rPr>
          <w:sz w:val="20"/>
          <w:szCs w:val="20"/>
        </w:rPr>
        <w:t>job</w:t>
      </w:r>
      <w:r w:rsidRPr="00DD1E24">
        <w:rPr>
          <w:sz w:val="20"/>
          <w:szCs w:val="20"/>
        </w:rPr>
        <w:t xml:space="preserve">s </w:t>
      </w:r>
      <w:r w:rsidR="00F67882" w:rsidRPr="00DD1E24">
        <w:rPr>
          <w:sz w:val="20"/>
          <w:szCs w:val="20"/>
        </w:rPr>
        <w:t xml:space="preserve">are </w:t>
      </w:r>
      <w:r w:rsidR="00205217" w:rsidRPr="00DD1E24">
        <w:rPr>
          <w:sz w:val="20"/>
          <w:szCs w:val="20"/>
        </w:rPr>
        <w:t>in Metro Southwes</w:t>
      </w:r>
      <w:r w:rsidR="00AA46D9" w:rsidRPr="00DD1E24">
        <w:rPr>
          <w:sz w:val="20"/>
          <w:szCs w:val="20"/>
        </w:rPr>
        <w:t>t</w:t>
      </w:r>
    </w:p>
    <w:p w:rsidR="0048312F" w:rsidRDefault="00A07619" w:rsidP="00DD1E24">
      <w:pPr>
        <w:pStyle w:val="NoSpacing"/>
        <w:ind w:right="90"/>
        <w:jc w:val="center"/>
        <w:sectPr w:rsidR="0048312F" w:rsidSect="00F76A48">
          <w:footnotePr>
            <w:numFmt w:val="lowerRoman"/>
          </w:footnotePr>
          <w:endnotePr>
            <w:numFmt w:val="decimal"/>
          </w:endnotePr>
          <w:type w:val="continuous"/>
          <w:pgSz w:w="12240" w:h="15840"/>
          <w:pgMar w:top="1440" w:right="1440" w:bottom="1440" w:left="1440" w:header="720" w:footer="720" w:gutter="0"/>
          <w:cols w:space="720"/>
          <w:docGrid w:linePitch="360"/>
        </w:sectPr>
      </w:pPr>
      <w:r>
        <w:rPr>
          <w:noProof/>
        </w:rPr>
        <w:pict>
          <v:rect id="_x0000_s1052" style="position:absolute;left:0;text-align:left;margin-left:76.7pt;margin-top:1.25pt;width:309.5pt;height:157.75pt;z-index:251675648" filled="f"/>
        </w:pict>
      </w:r>
      <w:r w:rsidR="0048312F">
        <w:rPr>
          <w:noProof/>
        </w:rPr>
        <w:drawing>
          <wp:inline distT="0" distB="0" distL="0" distR="0">
            <wp:extent cx="3935433" cy="1986166"/>
            <wp:effectExtent l="19050" t="0" r="26967"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3551C" w:rsidRDefault="0063551C" w:rsidP="00DA26D0">
      <w:pPr>
        <w:pStyle w:val="Heading2"/>
        <w:rPr>
          <w:color w:val="5F497A" w:themeColor="accent4" w:themeShade="BF"/>
          <w:sz w:val="2"/>
        </w:rPr>
      </w:pPr>
    </w:p>
    <w:p w:rsidR="004F0CAE" w:rsidRPr="0063551C" w:rsidRDefault="004F0CAE" w:rsidP="00DA26D0">
      <w:pPr>
        <w:pStyle w:val="Heading2"/>
        <w:rPr>
          <w:sz w:val="20"/>
          <w:szCs w:val="20"/>
        </w:rPr>
      </w:pPr>
      <w:r w:rsidRPr="0063551C">
        <w:rPr>
          <w:sz w:val="20"/>
          <w:szCs w:val="20"/>
        </w:rPr>
        <w:t>Firms with 100 or more employees accounted for almost one half of the jobs in MSW</w:t>
      </w:r>
    </w:p>
    <w:p w:rsidR="00656821" w:rsidRDefault="00471FDB" w:rsidP="00BF2666">
      <w:pPr>
        <w:rPr>
          <w:sz w:val="18"/>
          <w:szCs w:val="18"/>
        </w:rPr>
      </w:pPr>
      <w:r w:rsidRPr="0063551C">
        <w:rPr>
          <w:sz w:val="18"/>
          <w:szCs w:val="18"/>
        </w:rPr>
        <w:t xml:space="preserve">The majority of </w:t>
      </w:r>
      <w:r w:rsidR="004F0CAE" w:rsidRPr="0063551C">
        <w:rPr>
          <w:sz w:val="18"/>
          <w:szCs w:val="18"/>
        </w:rPr>
        <w:t xml:space="preserve">companies </w:t>
      </w:r>
      <w:r w:rsidRPr="0063551C">
        <w:rPr>
          <w:sz w:val="18"/>
          <w:szCs w:val="18"/>
        </w:rPr>
        <w:t xml:space="preserve">(87.6%) </w:t>
      </w:r>
      <w:r w:rsidR="004F0CAE" w:rsidRPr="0063551C">
        <w:rPr>
          <w:sz w:val="18"/>
          <w:szCs w:val="18"/>
        </w:rPr>
        <w:t xml:space="preserve">had fewer than 20 employees, </w:t>
      </w:r>
      <w:r w:rsidRPr="0063551C">
        <w:rPr>
          <w:sz w:val="18"/>
          <w:szCs w:val="18"/>
        </w:rPr>
        <w:t xml:space="preserve">but they </w:t>
      </w:r>
      <w:r w:rsidR="004F0CAE" w:rsidRPr="0063551C">
        <w:rPr>
          <w:sz w:val="18"/>
          <w:szCs w:val="18"/>
        </w:rPr>
        <w:t>account</w:t>
      </w:r>
      <w:r w:rsidRPr="0063551C">
        <w:rPr>
          <w:sz w:val="18"/>
          <w:szCs w:val="18"/>
        </w:rPr>
        <w:t xml:space="preserve">ed </w:t>
      </w:r>
      <w:r w:rsidR="004F0CAE" w:rsidRPr="0063551C">
        <w:rPr>
          <w:sz w:val="18"/>
          <w:szCs w:val="18"/>
        </w:rPr>
        <w:t>for only 22.4% of employment.</w:t>
      </w:r>
      <w:r w:rsidR="004F0CAE" w:rsidRPr="0063551C">
        <w:rPr>
          <w:rStyle w:val="EndnoteReference"/>
          <w:sz w:val="18"/>
          <w:szCs w:val="18"/>
        </w:rPr>
        <w:endnoteReference w:id="21"/>
      </w:r>
    </w:p>
    <w:p w:rsidR="0063551C" w:rsidRPr="0063551C" w:rsidRDefault="0063551C" w:rsidP="00BF2666">
      <w:pPr>
        <w:rPr>
          <w:sz w:val="18"/>
          <w:szCs w:val="18"/>
        </w:rPr>
      </w:pPr>
    </w:p>
    <w:tbl>
      <w:tblPr>
        <w:tblStyle w:val="TableGrid"/>
        <w:tblW w:w="0" w:type="auto"/>
        <w:tblInd w:w="1024" w:type="dxa"/>
        <w:tblLayout w:type="fixed"/>
        <w:tblLook w:val="0000"/>
      </w:tblPr>
      <w:tblGrid>
        <w:gridCol w:w="1685"/>
        <w:gridCol w:w="3043"/>
        <w:gridCol w:w="2157"/>
      </w:tblGrid>
      <w:tr w:rsidR="00656821" w:rsidRPr="00656821" w:rsidTr="0063551C">
        <w:trPr>
          <w:trHeight w:val="199"/>
        </w:trPr>
        <w:tc>
          <w:tcPr>
            <w:tcW w:w="6884" w:type="dxa"/>
            <w:gridSpan w:val="3"/>
            <w:shd w:val="clear" w:color="auto" w:fill="8DB3E2" w:themeFill="text2" w:themeFillTint="66"/>
            <w:vAlign w:val="center"/>
          </w:tcPr>
          <w:p w:rsidR="00656821" w:rsidRPr="00656821" w:rsidRDefault="00656821" w:rsidP="002739FA">
            <w:pPr>
              <w:pStyle w:val="Title"/>
            </w:pPr>
            <w:r>
              <w:t>200 companies employ 250 or more employees</w:t>
            </w:r>
          </w:p>
        </w:tc>
      </w:tr>
      <w:tr w:rsidR="00CA6276" w:rsidRPr="002739FA" w:rsidTr="0063551C">
        <w:trPr>
          <w:trHeight w:val="181"/>
        </w:trPr>
        <w:tc>
          <w:tcPr>
            <w:tcW w:w="1685" w:type="dxa"/>
            <w:tcBorders>
              <w:bottom w:val="single" w:sz="12" w:space="0" w:color="auto"/>
            </w:tcBorders>
            <w:vAlign w:val="center"/>
          </w:tcPr>
          <w:p w:rsidR="00CA6276" w:rsidRPr="002739FA" w:rsidRDefault="00CA6276" w:rsidP="00DA26D0">
            <w:pPr>
              <w:pStyle w:val="Subtitle"/>
            </w:pPr>
            <w:r w:rsidRPr="002739FA">
              <w:t>1,000-4,999 Employees</w:t>
            </w:r>
          </w:p>
        </w:tc>
        <w:tc>
          <w:tcPr>
            <w:tcW w:w="3043" w:type="dxa"/>
            <w:tcBorders>
              <w:bottom w:val="single" w:sz="12" w:space="0" w:color="auto"/>
            </w:tcBorders>
            <w:vAlign w:val="center"/>
          </w:tcPr>
          <w:p w:rsidR="00CA6276" w:rsidRPr="002739FA" w:rsidRDefault="00CA6276" w:rsidP="00DA26D0">
            <w:pPr>
              <w:pStyle w:val="Subtitle"/>
            </w:pPr>
            <w:r w:rsidRPr="002739FA">
              <w:t>500-999 Employees</w:t>
            </w:r>
          </w:p>
        </w:tc>
        <w:tc>
          <w:tcPr>
            <w:tcW w:w="2157" w:type="dxa"/>
            <w:tcBorders>
              <w:bottom w:val="single" w:sz="12" w:space="0" w:color="auto"/>
            </w:tcBorders>
            <w:vAlign w:val="center"/>
          </w:tcPr>
          <w:p w:rsidR="00CA6276" w:rsidRPr="002739FA" w:rsidRDefault="002739FA" w:rsidP="00DA26D0">
            <w:pPr>
              <w:pStyle w:val="Subtitle"/>
            </w:pPr>
            <w:r>
              <w:t>250–</w:t>
            </w:r>
            <w:r w:rsidR="00CA6276" w:rsidRPr="002739FA">
              <w:t>499 Employees</w:t>
            </w:r>
          </w:p>
        </w:tc>
      </w:tr>
      <w:tr w:rsidR="00CA6276" w:rsidTr="0063551C">
        <w:trPr>
          <w:trHeight w:val="181"/>
        </w:trPr>
        <w:tc>
          <w:tcPr>
            <w:tcW w:w="1685" w:type="dxa"/>
            <w:tcBorders>
              <w:top w:val="single" w:sz="12" w:space="0" w:color="auto"/>
              <w:bottom w:val="single" w:sz="4" w:space="0" w:color="auto"/>
            </w:tcBorders>
            <w:vAlign w:val="center"/>
          </w:tcPr>
          <w:p w:rsidR="00CA6276" w:rsidRPr="002739FA" w:rsidRDefault="00CA6276" w:rsidP="00DA26D0">
            <w:pPr>
              <w:pStyle w:val="TableBody"/>
            </w:pPr>
            <w:r w:rsidRPr="002739FA">
              <w:t>First Fidelity</w:t>
            </w:r>
          </w:p>
        </w:tc>
        <w:tc>
          <w:tcPr>
            <w:tcW w:w="3043" w:type="dxa"/>
            <w:tcBorders>
              <w:top w:val="single" w:sz="12" w:space="0" w:color="auto"/>
              <w:bottom w:val="single" w:sz="4" w:space="0" w:color="auto"/>
            </w:tcBorders>
            <w:vAlign w:val="center"/>
          </w:tcPr>
          <w:p w:rsidR="00CA6276" w:rsidRPr="002739FA" w:rsidRDefault="00CA6276" w:rsidP="00DA26D0">
            <w:pPr>
              <w:pStyle w:val="TableBody"/>
            </w:pPr>
            <w:r w:rsidRPr="002739FA">
              <w:t>Agilent Technologies</w:t>
            </w:r>
          </w:p>
        </w:tc>
        <w:tc>
          <w:tcPr>
            <w:tcW w:w="2157" w:type="dxa"/>
            <w:tcBorders>
              <w:top w:val="single" w:sz="12" w:space="0" w:color="auto"/>
              <w:bottom w:val="single" w:sz="4" w:space="0" w:color="auto"/>
            </w:tcBorders>
            <w:vAlign w:val="center"/>
          </w:tcPr>
          <w:p w:rsidR="00CA6276" w:rsidRPr="002739FA" w:rsidRDefault="00CA6276" w:rsidP="00DA26D0">
            <w:pPr>
              <w:pStyle w:val="TableBody"/>
            </w:pPr>
            <w:r w:rsidRPr="002739FA">
              <w:t>ACI Worldwide,</w:t>
            </w:r>
            <w:r w:rsidR="00DA26D0">
              <w:t xml:space="preserve"> </w:t>
            </w:r>
            <w:r w:rsidRPr="002739FA">
              <w:t>Inc.</w:t>
            </w:r>
          </w:p>
        </w:tc>
      </w:tr>
      <w:tr w:rsidR="00CA6276" w:rsidTr="0063551C">
        <w:trPr>
          <w:trHeight w:val="181"/>
        </w:trPr>
        <w:tc>
          <w:tcPr>
            <w:tcW w:w="1685" w:type="dxa"/>
            <w:shd w:val="clear" w:color="auto" w:fill="DBE5F1" w:themeFill="accent1" w:themeFillTint="33"/>
            <w:vAlign w:val="center"/>
          </w:tcPr>
          <w:p w:rsidR="00CA6276" w:rsidRPr="002739FA" w:rsidRDefault="00CA6276" w:rsidP="00DA26D0">
            <w:pPr>
              <w:pStyle w:val="TableBody"/>
            </w:pPr>
            <w:r w:rsidRPr="002739FA">
              <w:t>Invensys North America</w:t>
            </w:r>
          </w:p>
        </w:tc>
        <w:tc>
          <w:tcPr>
            <w:tcW w:w="3043" w:type="dxa"/>
            <w:shd w:val="clear" w:color="auto" w:fill="DBE5F1" w:themeFill="accent1" w:themeFillTint="33"/>
            <w:vAlign w:val="center"/>
          </w:tcPr>
          <w:p w:rsidR="00CA6276" w:rsidRPr="002739FA" w:rsidRDefault="00CA6276" w:rsidP="00DA26D0">
            <w:pPr>
              <w:pStyle w:val="TableBody"/>
            </w:pPr>
            <w:proofErr w:type="spellStart"/>
            <w:r w:rsidRPr="002739FA">
              <w:t>Compushare</w:t>
            </w:r>
            <w:proofErr w:type="spellEnd"/>
            <w:r w:rsidRPr="002739FA">
              <w:t xml:space="preserve"> Investor Services</w:t>
            </w:r>
          </w:p>
        </w:tc>
        <w:tc>
          <w:tcPr>
            <w:tcW w:w="2157" w:type="dxa"/>
            <w:shd w:val="clear" w:color="auto" w:fill="DBE5F1" w:themeFill="accent1" w:themeFillTint="33"/>
            <w:vAlign w:val="center"/>
          </w:tcPr>
          <w:p w:rsidR="00CA6276" w:rsidRPr="002739FA" w:rsidRDefault="00CA6276" w:rsidP="00DA26D0">
            <w:pPr>
              <w:pStyle w:val="TableBody"/>
            </w:pPr>
            <w:r w:rsidRPr="002739FA">
              <w:t>Avery Dennison Corporation</w:t>
            </w:r>
          </w:p>
        </w:tc>
      </w:tr>
      <w:tr w:rsidR="00CA6276" w:rsidTr="0063551C">
        <w:trPr>
          <w:trHeight w:val="181"/>
        </w:trPr>
        <w:tc>
          <w:tcPr>
            <w:tcW w:w="1685" w:type="dxa"/>
            <w:tcBorders>
              <w:bottom w:val="single" w:sz="4" w:space="0" w:color="auto"/>
            </w:tcBorders>
            <w:vAlign w:val="center"/>
          </w:tcPr>
          <w:p w:rsidR="00CA6276" w:rsidRPr="002739FA" w:rsidRDefault="00CA6276" w:rsidP="00DA26D0">
            <w:pPr>
              <w:pStyle w:val="TableBody"/>
            </w:pPr>
            <w:proofErr w:type="spellStart"/>
            <w:r w:rsidRPr="002739FA">
              <w:t>Mitre</w:t>
            </w:r>
            <w:proofErr w:type="spellEnd"/>
            <w:r w:rsidRPr="002739FA">
              <w:t xml:space="preserve"> Corporation</w:t>
            </w:r>
          </w:p>
        </w:tc>
        <w:tc>
          <w:tcPr>
            <w:tcW w:w="3043" w:type="dxa"/>
            <w:tcBorders>
              <w:bottom w:val="single" w:sz="4" w:space="0" w:color="auto"/>
            </w:tcBorders>
            <w:vAlign w:val="center"/>
          </w:tcPr>
          <w:p w:rsidR="00CA6276" w:rsidRPr="002739FA" w:rsidRDefault="00CA6276" w:rsidP="00DA26D0">
            <w:pPr>
              <w:pStyle w:val="TableBody"/>
            </w:pPr>
            <w:r w:rsidRPr="002739FA">
              <w:t>Digital Federal Credit Union</w:t>
            </w:r>
          </w:p>
        </w:tc>
        <w:tc>
          <w:tcPr>
            <w:tcW w:w="2157" w:type="dxa"/>
            <w:tcBorders>
              <w:bottom w:val="single" w:sz="4" w:space="0" w:color="auto"/>
            </w:tcBorders>
            <w:vAlign w:val="center"/>
          </w:tcPr>
          <w:p w:rsidR="00CA6276" w:rsidRPr="002739FA" w:rsidRDefault="00CA6276" w:rsidP="00DA26D0">
            <w:pPr>
              <w:pStyle w:val="TableBody"/>
            </w:pPr>
            <w:r w:rsidRPr="002739FA">
              <w:t>Bloomingdale's</w:t>
            </w:r>
          </w:p>
        </w:tc>
      </w:tr>
      <w:tr w:rsidR="00CA6276" w:rsidTr="0063551C">
        <w:trPr>
          <w:trHeight w:val="181"/>
        </w:trPr>
        <w:tc>
          <w:tcPr>
            <w:tcW w:w="1685" w:type="dxa"/>
            <w:shd w:val="clear" w:color="auto" w:fill="DBE5F1" w:themeFill="accent1" w:themeFillTint="33"/>
            <w:vAlign w:val="center"/>
          </w:tcPr>
          <w:p w:rsidR="00CA6276" w:rsidRPr="002739FA" w:rsidRDefault="00CA6276" w:rsidP="00DA26D0">
            <w:pPr>
              <w:pStyle w:val="TableBody"/>
            </w:pPr>
            <w:r w:rsidRPr="002739FA">
              <w:t>Novell Inc.</w:t>
            </w:r>
          </w:p>
        </w:tc>
        <w:tc>
          <w:tcPr>
            <w:tcW w:w="3043" w:type="dxa"/>
            <w:shd w:val="clear" w:color="auto" w:fill="DBE5F1" w:themeFill="accent1" w:themeFillTint="33"/>
            <w:vAlign w:val="center"/>
          </w:tcPr>
          <w:p w:rsidR="00CA6276" w:rsidRPr="002739FA" w:rsidRDefault="00CA6276" w:rsidP="00DA26D0">
            <w:pPr>
              <w:pStyle w:val="TableBody"/>
            </w:pPr>
            <w:r w:rsidRPr="002739FA">
              <w:t>New England Center for Children</w:t>
            </w:r>
          </w:p>
        </w:tc>
        <w:tc>
          <w:tcPr>
            <w:tcW w:w="2157" w:type="dxa"/>
            <w:shd w:val="clear" w:color="auto" w:fill="DBE5F1" w:themeFill="accent1" w:themeFillTint="33"/>
            <w:vAlign w:val="center"/>
          </w:tcPr>
          <w:p w:rsidR="00CA6276" w:rsidRPr="002739FA" w:rsidRDefault="00CA6276" w:rsidP="00DA26D0">
            <w:pPr>
              <w:pStyle w:val="TableBody"/>
            </w:pPr>
            <w:r w:rsidRPr="002739FA">
              <w:t>Boston Mutual Life Insurance</w:t>
            </w:r>
          </w:p>
        </w:tc>
      </w:tr>
      <w:tr w:rsidR="00CA6276" w:rsidTr="0063551C">
        <w:trPr>
          <w:trHeight w:val="181"/>
        </w:trPr>
        <w:tc>
          <w:tcPr>
            <w:tcW w:w="1685" w:type="dxa"/>
            <w:tcBorders>
              <w:bottom w:val="single" w:sz="4" w:space="0" w:color="auto"/>
            </w:tcBorders>
            <w:vAlign w:val="center"/>
          </w:tcPr>
          <w:p w:rsidR="00CA6276" w:rsidRPr="002739FA" w:rsidRDefault="00CA6276" w:rsidP="00DA26D0">
            <w:pPr>
              <w:pStyle w:val="TableBody"/>
            </w:pPr>
            <w:r w:rsidRPr="002739FA">
              <w:t>Sun Capital Advisors</w:t>
            </w:r>
          </w:p>
        </w:tc>
        <w:tc>
          <w:tcPr>
            <w:tcW w:w="3043" w:type="dxa"/>
            <w:tcBorders>
              <w:bottom w:val="single" w:sz="4" w:space="0" w:color="auto"/>
            </w:tcBorders>
            <w:vAlign w:val="center"/>
          </w:tcPr>
          <w:p w:rsidR="00CA6276" w:rsidRPr="002739FA" w:rsidRDefault="00CA6276" w:rsidP="00DA26D0">
            <w:pPr>
              <w:pStyle w:val="TableBody"/>
            </w:pPr>
            <w:r w:rsidRPr="002739FA">
              <w:t>PAREXEL International Corporation</w:t>
            </w:r>
          </w:p>
        </w:tc>
        <w:tc>
          <w:tcPr>
            <w:tcW w:w="2157" w:type="dxa"/>
            <w:tcBorders>
              <w:bottom w:val="single" w:sz="4" w:space="0" w:color="auto"/>
            </w:tcBorders>
            <w:vAlign w:val="center"/>
          </w:tcPr>
          <w:p w:rsidR="00CA6276" w:rsidRPr="002739FA" w:rsidRDefault="00CA6276" w:rsidP="00DA26D0">
            <w:pPr>
              <w:pStyle w:val="TableBody"/>
            </w:pPr>
            <w:proofErr w:type="spellStart"/>
            <w:r w:rsidRPr="002739FA">
              <w:t>Cognex</w:t>
            </w:r>
            <w:proofErr w:type="spellEnd"/>
            <w:r w:rsidRPr="002739FA">
              <w:t xml:space="preserve"> Corporation</w:t>
            </w:r>
          </w:p>
        </w:tc>
      </w:tr>
      <w:tr w:rsidR="00CA6276" w:rsidTr="0063551C">
        <w:trPr>
          <w:trHeight w:val="174"/>
        </w:trPr>
        <w:tc>
          <w:tcPr>
            <w:tcW w:w="1685" w:type="dxa"/>
            <w:shd w:val="clear" w:color="auto" w:fill="DBE5F1" w:themeFill="accent1" w:themeFillTint="33"/>
            <w:vAlign w:val="center"/>
          </w:tcPr>
          <w:p w:rsidR="00CA6276" w:rsidRPr="002739FA" w:rsidRDefault="00CA6276" w:rsidP="00DA26D0">
            <w:pPr>
              <w:pStyle w:val="TableBody"/>
            </w:pPr>
            <w:r w:rsidRPr="002739FA">
              <w:t>TJX Company, Inc.</w:t>
            </w:r>
          </w:p>
        </w:tc>
        <w:tc>
          <w:tcPr>
            <w:tcW w:w="3043" w:type="dxa"/>
            <w:shd w:val="clear" w:color="auto" w:fill="DBE5F1" w:themeFill="accent1" w:themeFillTint="33"/>
            <w:vAlign w:val="center"/>
          </w:tcPr>
          <w:p w:rsidR="00CA6276" w:rsidRPr="002739FA" w:rsidRDefault="00CA6276" w:rsidP="00DA26D0">
            <w:pPr>
              <w:pStyle w:val="TableBody"/>
            </w:pPr>
            <w:r w:rsidRPr="002739FA">
              <w:t>Roche Brothers</w:t>
            </w:r>
          </w:p>
        </w:tc>
        <w:tc>
          <w:tcPr>
            <w:tcW w:w="2157" w:type="dxa"/>
            <w:shd w:val="clear" w:color="auto" w:fill="DBE5F1" w:themeFill="accent1" w:themeFillTint="33"/>
            <w:vAlign w:val="center"/>
          </w:tcPr>
          <w:p w:rsidR="00CA6276" w:rsidRPr="002739FA" w:rsidRDefault="00CA6276" w:rsidP="00DA26D0">
            <w:pPr>
              <w:pStyle w:val="TableBody"/>
            </w:pPr>
            <w:r w:rsidRPr="002739FA">
              <w:t>Dialogic, Inc.</w:t>
            </w:r>
          </w:p>
        </w:tc>
      </w:tr>
    </w:tbl>
    <w:p w:rsidR="0006097F" w:rsidRPr="00437487" w:rsidRDefault="0006097F" w:rsidP="002739FA">
      <w:pPr>
        <w:pStyle w:val="Heading1"/>
        <w:tabs>
          <w:tab w:val="left" w:pos="9180"/>
        </w:tabs>
        <w:rPr>
          <w:sz w:val="20"/>
        </w:rPr>
      </w:pPr>
      <w:r w:rsidRPr="00437487">
        <w:rPr>
          <w:sz w:val="20"/>
        </w:rPr>
        <w:t>MSW Labor Market: Supply</w:t>
      </w:r>
    </w:p>
    <w:p w:rsidR="00827084" w:rsidRPr="0063551C" w:rsidRDefault="00827084" w:rsidP="00FE35BF">
      <w:pPr>
        <w:pStyle w:val="Heading2"/>
        <w:rPr>
          <w:sz w:val="20"/>
          <w:szCs w:val="20"/>
        </w:rPr>
      </w:pPr>
      <w:r w:rsidRPr="0063551C">
        <w:rPr>
          <w:sz w:val="20"/>
          <w:szCs w:val="20"/>
        </w:rPr>
        <w:t>MSW is a net importer of workers</w:t>
      </w:r>
    </w:p>
    <w:p w:rsidR="003252F4" w:rsidRDefault="00827084" w:rsidP="0063551C">
      <w:pPr>
        <w:rPr>
          <w:sz w:val="2"/>
          <w:szCs w:val="2"/>
        </w:rPr>
      </w:pPr>
      <w:r w:rsidRPr="0063551C">
        <w:rPr>
          <w:sz w:val="18"/>
          <w:szCs w:val="18"/>
        </w:rPr>
        <w:t>MSW is a net importer of workers with 60,000 more employees commuting into the region for work than residents commuting out.</w:t>
      </w:r>
      <w:r w:rsidRPr="0063551C">
        <w:rPr>
          <w:rStyle w:val="EndnoteReference"/>
          <w:sz w:val="18"/>
          <w:szCs w:val="18"/>
        </w:rPr>
        <w:endnoteReference w:id="22"/>
      </w:r>
    </w:p>
    <w:p w:rsidR="003252F4" w:rsidRPr="003252F4" w:rsidRDefault="003252F4" w:rsidP="0063551C">
      <w:pPr>
        <w:rPr>
          <w:sz w:val="2"/>
          <w:szCs w:val="2"/>
        </w:rPr>
      </w:pPr>
    </w:p>
    <w:p w:rsidR="003252F4" w:rsidRDefault="00F67882" w:rsidP="00A30DC2">
      <w:pPr>
        <w:rPr>
          <w:b/>
          <w:i/>
        </w:rPr>
      </w:pPr>
      <w:r w:rsidRPr="0063551C">
        <w:rPr>
          <w:b/>
          <w:i/>
        </w:rPr>
        <w:t>L</w:t>
      </w:r>
      <w:r w:rsidR="00827084" w:rsidRPr="0063551C">
        <w:rPr>
          <w:b/>
          <w:i/>
        </w:rPr>
        <w:t>abor f</w:t>
      </w:r>
      <w:r w:rsidR="002539CB" w:rsidRPr="0063551C">
        <w:rPr>
          <w:b/>
          <w:i/>
        </w:rPr>
        <w:t xml:space="preserve">orce </w:t>
      </w:r>
      <w:r w:rsidR="00827084" w:rsidRPr="0063551C">
        <w:rPr>
          <w:b/>
          <w:i/>
        </w:rPr>
        <w:t>g</w:t>
      </w:r>
      <w:r w:rsidR="002539CB" w:rsidRPr="0063551C">
        <w:rPr>
          <w:b/>
          <w:i/>
        </w:rPr>
        <w:t>rowth slowed by 2010</w:t>
      </w:r>
    </w:p>
    <w:p w:rsidR="002539CB" w:rsidRPr="003252F4" w:rsidRDefault="002539CB" w:rsidP="00A30DC2">
      <w:pPr>
        <w:rPr>
          <w:b/>
          <w:i/>
        </w:rPr>
      </w:pPr>
      <w:r w:rsidRPr="0063551C">
        <w:rPr>
          <w:sz w:val="18"/>
          <w:szCs w:val="18"/>
        </w:rPr>
        <w:t>Between 2000 and 2005, the labor force grew by 4.6%, compared to Massachusetts 4.4% and the United States 4.8%. By 2010 the growth rate of the MSW labor force slowed to 2.2%, less than that of Massachusetts, 3.0% and the United States, 3.2%.</w:t>
      </w:r>
      <w:r w:rsidRPr="0063551C">
        <w:rPr>
          <w:rStyle w:val="EndnoteReference"/>
          <w:sz w:val="18"/>
          <w:szCs w:val="18"/>
        </w:rPr>
        <w:endnoteReference w:id="23"/>
      </w:r>
    </w:p>
    <w:p w:rsidR="008C3088" w:rsidRPr="003508D4" w:rsidRDefault="00827084" w:rsidP="003508D4">
      <w:pPr>
        <w:pStyle w:val="Heading2"/>
        <w:rPr>
          <w:sz w:val="20"/>
          <w:szCs w:val="20"/>
        </w:rPr>
      </w:pPr>
      <w:r w:rsidRPr="003508D4">
        <w:rPr>
          <w:sz w:val="20"/>
          <w:szCs w:val="20"/>
        </w:rPr>
        <w:lastRenderedPageBreak/>
        <w:t xml:space="preserve">MSW </w:t>
      </w:r>
      <w:r w:rsidR="00A27995" w:rsidRPr="003508D4">
        <w:rPr>
          <w:sz w:val="20"/>
          <w:szCs w:val="20"/>
        </w:rPr>
        <w:t>h</w:t>
      </w:r>
      <w:r w:rsidRPr="003508D4">
        <w:rPr>
          <w:sz w:val="20"/>
          <w:szCs w:val="20"/>
        </w:rPr>
        <w:t xml:space="preserve">as the </w:t>
      </w:r>
      <w:r w:rsidR="00A27995" w:rsidRPr="003508D4">
        <w:rPr>
          <w:sz w:val="20"/>
          <w:szCs w:val="20"/>
        </w:rPr>
        <w:t>o</w:t>
      </w:r>
      <w:r w:rsidR="004C2418" w:rsidRPr="003508D4">
        <w:rPr>
          <w:sz w:val="20"/>
          <w:szCs w:val="20"/>
        </w:rPr>
        <w:t>l</w:t>
      </w:r>
      <w:r w:rsidR="008C3088" w:rsidRPr="003508D4">
        <w:rPr>
          <w:sz w:val="20"/>
          <w:szCs w:val="20"/>
        </w:rPr>
        <w:t xml:space="preserve">dest </w:t>
      </w:r>
      <w:r w:rsidR="00A27995" w:rsidRPr="003508D4">
        <w:rPr>
          <w:sz w:val="20"/>
          <w:szCs w:val="20"/>
        </w:rPr>
        <w:t>w</w:t>
      </w:r>
      <w:r w:rsidR="008C3088" w:rsidRPr="003508D4">
        <w:rPr>
          <w:sz w:val="20"/>
          <w:szCs w:val="20"/>
        </w:rPr>
        <w:t>orkforce in the Commonwealth</w:t>
      </w:r>
    </w:p>
    <w:p w:rsidR="00836BCB" w:rsidRPr="003508D4" w:rsidRDefault="00836BCB" w:rsidP="003508D4">
      <w:pPr>
        <w:rPr>
          <w:sz w:val="18"/>
          <w:szCs w:val="18"/>
        </w:rPr>
        <w:sectPr w:rsidR="00836BCB" w:rsidRPr="003508D4" w:rsidSect="00F76A48">
          <w:footnotePr>
            <w:numFmt w:val="lowerRoman"/>
          </w:footnotePr>
          <w:endnotePr>
            <w:numFmt w:val="decimal"/>
          </w:endnotePr>
          <w:type w:val="continuous"/>
          <w:pgSz w:w="12240" w:h="15840"/>
          <w:pgMar w:top="1440" w:right="1440" w:bottom="1440" w:left="1440" w:header="720" w:footer="720" w:gutter="0"/>
          <w:cols w:space="720"/>
          <w:docGrid w:linePitch="360"/>
        </w:sectPr>
      </w:pPr>
    </w:p>
    <w:p w:rsidR="00836BCB" w:rsidRPr="003508D4" w:rsidRDefault="002539CB" w:rsidP="003508D4">
      <w:pPr>
        <w:rPr>
          <w:sz w:val="18"/>
          <w:szCs w:val="18"/>
        </w:rPr>
      </w:pPr>
      <w:r w:rsidRPr="003508D4">
        <w:rPr>
          <w:sz w:val="18"/>
          <w:szCs w:val="18"/>
        </w:rPr>
        <w:lastRenderedPageBreak/>
        <w:t>Slightly over 50% of the unemployed in MSW are 45 or older, compared to 36.6% in the state.</w:t>
      </w:r>
      <w:r w:rsidRPr="003508D4">
        <w:rPr>
          <w:rStyle w:val="EndnoteReference"/>
          <w:sz w:val="18"/>
          <w:szCs w:val="18"/>
        </w:rPr>
        <w:endnoteReference w:id="24"/>
      </w:r>
    </w:p>
    <w:p w:rsidR="008C3088" w:rsidRPr="003508D4" w:rsidRDefault="00A11241" w:rsidP="003508D4">
      <w:pPr>
        <w:rPr>
          <w:sz w:val="18"/>
          <w:szCs w:val="18"/>
        </w:rPr>
      </w:pPr>
      <w:r w:rsidRPr="003508D4">
        <w:rPr>
          <w:sz w:val="18"/>
          <w:szCs w:val="18"/>
        </w:rPr>
        <w:t xml:space="preserve">Between 2000 and 2010, </w:t>
      </w:r>
      <w:r w:rsidR="004C2418" w:rsidRPr="003508D4">
        <w:rPr>
          <w:sz w:val="18"/>
          <w:szCs w:val="18"/>
        </w:rPr>
        <w:t>the</w:t>
      </w:r>
      <w:r w:rsidR="00806BBC" w:rsidRPr="003508D4">
        <w:rPr>
          <w:sz w:val="18"/>
          <w:szCs w:val="18"/>
        </w:rPr>
        <w:t xml:space="preserve"> number of</w:t>
      </w:r>
      <w:r w:rsidR="004C2418" w:rsidRPr="003508D4">
        <w:rPr>
          <w:sz w:val="18"/>
          <w:szCs w:val="18"/>
        </w:rPr>
        <w:t xml:space="preserve"> 45</w:t>
      </w:r>
      <w:r w:rsidR="002D19F1" w:rsidRPr="003508D4">
        <w:rPr>
          <w:sz w:val="18"/>
          <w:szCs w:val="18"/>
        </w:rPr>
        <w:t>–</w:t>
      </w:r>
      <w:r w:rsidR="004C2418" w:rsidRPr="003508D4">
        <w:rPr>
          <w:sz w:val="18"/>
          <w:szCs w:val="18"/>
        </w:rPr>
        <w:t>64 year old</w:t>
      </w:r>
      <w:r w:rsidR="00806BBC" w:rsidRPr="003508D4">
        <w:rPr>
          <w:sz w:val="18"/>
          <w:szCs w:val="18"/>
        </w:rPr>
        <w:t>s in the workforce in MSW</w:t>
      </w:r>
      <w:r w:rsidR="004C2418" w:rsidRPr="003508D4">
        <w:rPr>
          <w:sz w:val="18"/>
          <w:szCs w:val="18"/>
        </w:rPr>
        <w:t xml:space="preserve"> increased by 5.6%</w:t>
      </w:r>
      <w:r w:rsidR="00806BBC" w:rsidRPr="003508D4">
        <w:rPr>
          <w:sz w:val="18"/>
          <w:szCs w:val="18"/>
        </w:rPr>
        <w:t xml:space="preserve">; </w:t>
      </w:r>
      <w:r w:rsidRPr="003508D4">
        <w:rPr>
          <w:sz w:val="18"/>
          <w:szCs w:val="18"/>
        </w:rPr>
        <w:t>16</w:t>
      </w:r>
      <w:r w:rsidR="0004210D" w:rsidRPr="003508D4">
        <w:rPr>
          <w:sz w:val="18"/>
          <w:szCs w:val="18"/>
        </w:rPr>
        <w:t>–</w:t>
      </w:r>
      <w:r w:rsidRPr="003508D4">
        <w:rPr>
          <w:sz w:val="18"/>
          <w:szCs w:val="18"/>
        </w:rPr>
        <w:t>24 year old</w:t>
      </w:r>
      <w:r w:rsidR="00806BBC" w:rsidRPr="003508D4">
        <w:rPr>
          <w:sz w:val="18"/>
          <w:szCs w:val="18"/>
        </w:rPr>
        <w:t>s</w:t>
      </w:r>
      <w:r w:rsidRPr="003508D4">
        <w:rPr>
          <w:sz w:val="18"/>
          <w:szCs w:val="18"/>
        </w:rPr>
        <w:t xml:space="preserve"> </w:t>
      </w:r>
      <w:r w:rsidR="00806BBC" w:rsidRPr="003508D4">
        <w:rPr>
          <w:sz w:val="18"/>
          <w:szCs w:val="18"/>
        </w:rPr>
        <w:t xml:space="preserve">increased </w:t>
      </w:r>
      <w:r w:rsidR="00471FDB" w:rsidRPr="003508D4">
        <w:rPr>
          <w:sz w:val="18"/>
          <w:szCs w:val="18"/>
        </w:rPr>
        <w:t xml:space="preserve">1.8%. </w:t>
      </w:r>
      <w:proofErr w:type="gramStart"/>
      <w:r w:rsidR="00471FDB" w:rsidRPr="003508D4">
        <w:rPr>
          <w:sz w:val="18"/>
          <w:szCs w:val="18"/>
        </w:rPr>
        <w:t xml:space="preserve">The </w:t>
      </w:r>
      <w:r w:rsidR="00806BBC" w:rsidRPr="003508D4">
        <w:rPr>
          <w:sz w:val="18"/>
          <w:szCs w:val="18"/>
        </w:rPr>
        <w:t xml:space="preserve">prime working age group, </w:t>
      </w:r>
      <w:r w:rsidRPr="003508D4">
        <w:rPr>
          <w:sz w:val="18"/>
          <w:szCs w:val="18"/>
        </w:rPr>
        <w:t>25</w:t>
      </w:r>
      <w:r w:rsidR="002D19F1" w:rsidRPr="003508D4">
        <w:rPr>
          <w:sz w:val="18"/>
          <w:szCs w:val="18"/>
        </w:rPr>
        <w:t>–</w:t>
      </w:r>
      <w:r w:rsidRPr="003508D4">
        <w:rPr>
          <w:sz w:val="18"/>
          <w:szCs w:val="18"/>
        </w:rPr>
        <w:t>44 year old</w:t>
      </w:r>
      <w:r w:rsidR="00806BBC" w:rsidRPr="003508D4">
        <w:rPr>
          <w:sz w:val="18"/>
          <w:szCs w:val="18"/>
        </w:rPr>
        <w:t xml:space="preserve">s, </w:t>
      </w:r>
      <w:r w:rsidR="00D11D24" w:rsidRPr="003508D4">
        <w:rPr>
          <w:sz w:val="18"/>
          <w:szCs w:val="18"/>
        </w:rPr>
        <w:t xml:space="preserve">declined by </w:t>
      </w:r>
      <w:r w:rsidR="008C3088" w:rsidRPr="003508D4">
        <w:rPr>
          <w:sz w:val="18"/>
          <w:szCs w:val="18"/>
        </w:rPr>
        <w:t>4.5%</w:t>
      </w:r>
      <w:r w:rsidR="004C2418" w:rsidRPr="003508D4">
        <w:rPr>
          <w:sz w:val="18"/>
          <w:szCs w:val="18"/>
        </w:rPr>
        <w:t>.</w:t>
      </w:r>
      <w:proofErr w:type="gramEnd"/>
      <w:r w:rsidRPr="003508D4">
        <w:rPr>
          <w:rStyle w:val="EndnoteReference"/>
          <w:sz w:val="18"/>
          <w:szCs w:val="18"/>
        </w:rPr>
        <w:endnoteReference w:id="25"/>
      </w:r>
    </w:p>
    <w:p w:rsidR="00836BCB" w:rsidRPr="003508D4" w:rsidRDefault="00836BCB" w:rsidP="003508D4">
      <w:pPr>
        <w:pStyle w:val="Heading2"/>
        <w:rPr>
          <w:sz w:val="18"/>
        </w:rPr>
        <w:sectPr w:rsidR="00836BCB" w:rsidRPr="003508D4" w:rsidSect="00FB66AA">
          <w:footnotePr>
            <w:numFmt w:val="lowerRoman"/>
          </w:footnotePr>
          <w:endnotePr>
            <w:numFmt w:val="decimal"/>
          </w:endnotePr>
          <w:type w:val="continuous"/>
          <w:pgSz w:w="12240" w:h="15840"/>
          <w:pgMar w:top="1440" w:right="1440" w:bottom="1440" w:left="1440" w:header="720" w:footer="720" w:gutter="0"/>
          <w:cols w:space="720"/>
          <w:docGrid w:linePitch="360"/>
        </w:sectPr>
      </w:pPr>
    </w:p>
    <w:p w:rsidR="003957C2" w:rsidRPr="003508D4" w:rsidRDefault="002539CB" w:rsidP="003508D4">
      <w:pPr>
        <w:pStyle w:val="Heading2"/>
        <w:rPr>
          <w:sz w:val="20"/>
          <w:szCs w:val="20"/>
        </w:rPr>
      </w:pPr>
      <w:r w:rsidRPr="003508D4">
        <w:rPr>
          <w:sz w:val="20"/>
          <w:szCs w:val="20"/>
        </w:rPr>
        <w:lastRenderedPageBreak/>
        <w:t xml:space="preserve">Best </w:t>
      </w:r>
      <w:r w:rsidR="008F76C3" w:rsidRPr="003508D4">
        <w:rPr>
          <w:sz w:val="20"/>
          <w:szCs w:val="20"/>
        </w:rPr>
        <w:t>educated w</w:t>
      </w:r>
      <w:r w:rsidRPr="003508D4">
        <w:rPr>
          <w:sz w:val="20"/>
          <w:szCs w:val="20"/>
        </w:rPr>
        <w:t xml:space="preserve">orkforce in </w:t>
      </w:r>
      <w:r w:rsidR="008F76C3" w:rsidRPr="003508D4">
        <w:rPr>
          <w:sz w:val="20"/>
          <w:szCs w:val="20"/>
        </w:rPr>
        <w:t xml:space="preserve">the </w:t>
      </w:r>
      <w:r w:rsidRPr="003508D4">
        <w:rPr>
          <w:sz w:val="20"/>
          <w:szCs w:val="20"/>
        </w:rPr>
        <w:t>Commonwealth</w:t>
      </w:r>
    </w:p>
    <w:p w:rsidR="00836BCB" w:rsidRPr="003508D4" w:rsidRDefault="00836BCB" w:rsidP="003508D4">
      <w:pPr>
        <w:rPr>
          <w:sz w:val="18"/>
          <w:szCs w:val="18"/>
        </w:rPr>
        <w:sectPr w:rsidR="00836BCB" w:rsidRPr="003508D4" w:rsidSect="00F76A48">
          <w:footnotePr>
            <w:numFmt w:val="lowerRoman"/>
          </w:footnotePr>
          <w:endnotePr>
            <w:numFmt w:val="decimal"/>
          </w:endnotePr>
          <w:type w:val="continuous"/>
          <w:pgSz w:w="12240" w:h="15840"/>
          <w:pgMar w:top="1440" w:right="1440" w:bottom="1440" w:left="1440" w:header="720" w:footer="720" w:gutter="0"/>
          <w:cols w:space="720"/>
          <w:docGrid w:linePitch="360"/>
        </w:sectPr>
      </w:pPr>
    </w:p>
    <w:p w:rsidR="00836BCB" w:rsidRPr="003508D4" w:rsidRDefault="00806BBC" w:rsidP="003508D4">
      <w:pPr>
        <w:rPr>
          <w:sz w:val="18"/>
          <w:szCs w:val="18"/>
        </w:rPr>
      </w:pPr>
      <w:r w:rsidRPr="003508D4">
        <w:rPr>
          <w:sz w:val="18"/>
          <w:szCs w:val="18"/>
        </w:rPr>
        <w:lastRenderedPageBreak/>
        <w:t>80% of MSW workers had completed some post-secondary education by the end of the decade, com</w:t>
      </w:r>
      <w:r w:rsidR="00A55CF9" w:rsidRPr="003508D4">
        <w:rPr>
          <w:sz w:val="18"/>
          <w:szCs w:val="18"/>
        </w:rPr>
        <w:softHyphen/>
      </w:r>
      <w:r w:rsidRPr="003508D4">
        <w:rPr>
          <w:sz w:val="18"/>
          <w:szCs w:val="18"/>
        </w:rPr>
        <w:t>pared to 70% in Massachusetts and 60% in the nation.</w:t>
      </w:r>
      <w:r w:rsidRPr="003508D4">
        <w:rPr>
          <w:rStyle w:val="EndnoteReference"/>
          <w:sz w:val="18"/>
          <w:szCs w:val="18"/>
        </w:rPr>
        <w:endnoteReference w:id="26"/>
      </w:r>
    </w:p>
    <w:p w:rsidR="000B0B6E" w:rsidRPr="003508D4" w:rsidRDefault="00D11D24" w:rsidP="003508D4">
      <w:pPr>
        <w:rPr>
          <w:sz w:val="18"/>
          <w:szCs w:val="18"/>
        </w:rPr>
      </w:pPr>
      <w:r w:rsidRPr="003508D4">
        <w:rPr>
          <w:sz w:val="18"/>
          <w:szCs w:val="18"/>
        </w:rPr>
        <w:t>Nearly 30% of MSW’s workers had a master’s degree or higher, almost double the share of workers in Massachusetts with a master</w:t>
      </w:r>
      <w:r w:rsidR="00A27995" w:rsidRPr="003508D4">
        <w:rPr>
          <w:sz w:val="18"/>
          <w:szCs w:val="18"/>
        </w:rPr>
        <w:t>’</w:t>
      </w:r>
      <w:r w:rsidRPr="003508D4">
        <w:rPr>
          <w:sz w:val="18"/>
          <w:szCs w:val="18"/>
        </w:rPr>
        <w:t>s.</w:t>
      </w:r>
      <w:r w:rsidRPr="003508D4">
        <w:rPr>
          <w:rStyle w:val="EndnoteReference"/>
          <w:sz w:val="18"/>
          <w:szCs w:val="18"/>
        </w:rPr>
        <w:endnoteReference w:id="27"/>
      </w:r>
      <w:r w:rsidRPr="003508D4">
        <w:rPr>
          <w:sz w:val="18"/>
          <w:szCs w:val="18"/>
        </w:rPr>
        <w:t xml:space="preserve"> </w:t>
      </w:r>
    </w:p>
    <w:p w:rsidR="00D11D24" w:rsidRPr="003508D4" w:rsidRDefault="00D11D24" w:rsidP="003508D4">
      <w:pPr>
        <w:rPr>
          <w:b/>
          <w:i/>
          <w:sz w:val="18"/>
          <w:szCs w:val="18"/>
        </w:rPr>
      </w:pPr>
      <w:r w:rsidRPr="003508D4">
        <w:rPr>
          <w:sz w:val="18"/>
          <w:szCs w:val="18"/>
        </w:rPr>
        <w:t>The number of people in the</w:t>
      </w:r>
      <w:r w:rsidR="00B46472" w:rsidRPr="003508D4">
        <w:rPr>
          <w:sz w:val="18"/>
          <w:szCs w:val="18"/>
        </w:rPr>
        <w:t xml:space="preserve"> </w:t>
      </w:r>
      <w:r w:rsidRPr="003508D4">
        <w:rPr>
          <w:sz w:val="18"/>
          <w:szCs w:val="18"/>
        </w:rPr>
        <w:t xml:space="preserve">labor force in the region without a </w:t>
      </w:r>
      <w:r w:rsidR="00806BBC" w:rsidRPr="003508D4">
        <w:rPr>
          <w:sz w:val="18"/>
          <w:szCs w:val="18"/>
        </w:rPr>
        <w:t xml:space="preserve">high school diploma or GED </w:t>
      </w:r>
      <w:r w:rsidRPr="003508D4">
        <w:rPr>
          <w:sz w:val="18"/>
          <w:szCs w:val="18"/>
        </w:rPr>
        <w:t>fell by 2.0% to 29,248 in 2010.</w:t>
      </w:r>
      <w:r w:rsidRPr="003508D4">
        <w:rPr>
          <w:rStyle w:val="EndnoteReference"/>
          <w:sz w:val="18"/>
          <w:szCs w:val="18"/>
        </w:rPr>
        <w:endnoteReference w:id="28"/>
      </w:r>
    </w:p>
    <w:p w:rsidR="00B1083E" w:rsidRPr="003508D4" w:rsidRDefault="002539CB" w:rsidP="003508D4">
      <w:pPr>
        <w:rPr>
          <w:sz w:val="18"/>
          <w:szCs w:val="18"/>
        </w:rPr>
      </w:pPr>
      <w:r w:rsidRPr="003508D4">
        <w:rPr>
          <w:sz w:val="18"/>
          <w:szCs w:val="18"/>
        </w:rPr>
        <w:t>46.7</w:t>
      </w:r>
      <w:r w:rsidR="002D24C2" w:rsidRPr="003508D4">
        <w:rPr>
          <w:sz w:val="18"/>
          <w:szCs w:val="18"/>
        </w:rPr>
        <w:t>%</w:t>
      </w:r>
      <w:r w:rsidRPr="003508D4">
        <w:rPr>
          <w:sz w:val="18"/>
          <w:szCs w:val="18"/>
        </w:rPr>
        <w:t xml:space="preserve"> of the unemployed in MSW have a bachelor’s or higher, compared to 22.8% in the state.</w:t>
      </w:r>
      <w:r w:rsidR="002D24C2" w:rsidRPr="003508D4">
        <w:rPr>
          <w:rStyle w:val="EndnoteReference"/>
          <w:sz w:val="18"/>
          <w:szCs w:val="18"/>
        </w:rPr>
        <w:endnoteReference w:id="29"/>
      </w:r>
      <w:r w:rsidRPr="003508D4">
        <w:rPr>
          <w:sz w:val="18"/>
          <w:szCs w:val="18"/>
        </w:rPr>
        <w:t xml:space="preserve"> </w:t>
      </w:r>
    </w:p>
    <w:p w:rsidR="00836BCB" w:rsidRPr="001D1A1C" w:rsidRDefault="00B1083E" w:rsidP="001D1A1C">
      <w:pPr>
        <w:rPr>
          <w:sz w:val="18"/>
          <w:szCs w:val="18"/>
        </w:rPr>
        <w:sectPr w:rsidR="00836BCB" w:rsidRPr="001D1A1C" w:rsidSect="00FB66AA">
          <w:footnotePr>
            <w:numFmt w:val="lowerRoman"/>
          </w:footnotePr>
          <w:endnotePr>
            <w:numFmt w:val="decimal"/>
          </w:endnotePr>
          <w:type w:val="continuous"/>
          <w:pgSz w:w="12240" w:h="15840"/>
          <w:pgMar w:top="1440" w:right="1440" w:bottom="1440" w:left="1440" w:header="720" w:footer="720" w:gutter="0"/>
          <w:cols w:sep="1" w:space="720"/>
          <w:docGrid w:linePitch="360"/>
        </w:sectPr>
      </w:pPr>
      <w:r w:rsidRPr="003508D4">
        <w:rPr>
          <w:sz w:val="18"/>
          <w:szCs w:val="18"/>
        </w:rPr>
        <w:t>Educational attainment falls sharply by age cohort. The largest potential shortfall is in associate</w:t>
      </w:r>
      <w:r w:rsidR="00A27995" w:rsidRPr="003508D4">
        <w:rPr>
          <w:sz w:val="18"/>
          <w:szCs w:val="18"/>
        </w:rPr>
        <w:t>’</w:t>
      </w:r>
      <w:r w:rsidRPr="003508D4">
        <w:rPr>
          <w:sz w:val="18"/>
          <w:szCs w:val="18"/>
        </w:rPr>
        <w:t>s degrees</w:t>
      </w:r>
      <w:r w:rsidR="00A27995" w:rsidRPr="003508D4">
        <w:rPr>
          <w:sz w:val="18"/>
          <w:szCs w:val="18"/>
        </w:rPr>
        <w:t>;</w:t>
      </w:r>
      <w:r w:rsidRPr="003508D4">
        <w:rPr>
          <w:sz w:val="18"/>
          <w:szCs w:val="18"/>
        </w:rPr>
        <w:t xml:space="preserve"> 12,600 people in MSW between 45 and 54 have an associate</w:t>
      </w:r>
      <w:r w:rsidR="007A200A" w:rsidRPr="003508D4">
        <w:rPr>
          <w:sz w:val="18"/>
          <w:szCs w:val="18"/>
        </w:rPr>
        <w:t>’</w:t>
      </w:r>
      <w:r w:rsidRPr="003508D4">
        <w:rPr>
          <w:sz w:val="18"/>
          <w:szCs w:val="18"/>
        </w:rPr>
        <w:t>s degree. Fewer than 5,000 people between the ages of 25 and 34 have an associate’s.</w:t>
      </w:r>
      <w:r w:rsidRPr="003508D4">
        <w:rPr>
          <w:rStyle w:val="EndnoteReference"/>
          <w:sz w:val="18"/>
          <w:szCs w:val="18"/>
        </w:rPr>
        <w:endnoteReference w:id="30"/>
      </w:r>
    </w:p>
    <w:p w:rsidR="00DF24E7" w:rsidRPr="001D1A1C" w:rsidRDefault="00F80855" w:rsidP="001D1A1C">
      <w:pPr>
        <w:pStyle w:val="Heading2"/>
        <w:rPr>
          <w:sz w:val="20"/>
          <w:szCs w:val="20"/>
        </w:rPr>
      </w:pPr>
      <w:r w:rsidRPr="003508D4">
        <w:rPr>
          <w:sz w:val="20"/>
          <w:szCs w:val="20"/>
        </w:rPr>
        <w:lastRenderedPageBreak/>
        <w:t xml:space="preserve">The 128 loop encompasses </w:t>
      </w:r>
      <w:r w:rsidR="008F76C3" w:rsidRPr="003508D4">
        <w:rPr>
          <w:sz w:val="20"/>
          <w:szCs w:val="20"/>
        </w:rPr>
        <w:t>5</w:t>
      </w:r>
      <w:r w:rsidRPr="003508D4">
        <w:rPr>
          <w:sz w:val="20"/>
          <w:szCs w:val="20"/>
        </w:rPr>
        <w:t>8</w:t>
      </w:r>
      <w:r w:rsidR="008F76C3" w:rsidRPr="003508D4">
        <w:rPr>
          <w:sz w:val="20"/>
          <w:szCs w:val="20"/>
        </w:rPr>
        <w:t xml:space="preserve"> institutions of higher education—</w:t>
      </w:r>
      <w:r w:rsidRPr="003508D4">
        <w:rPr>
          <w:sz w:val="20"/>
          <w:szCs w:val="20"/>
        </w:rPr>
        <w:t>18</w:t>
      </w:r>
      <w:r w:rsidR="008F76C3" w:rsidRPr="003508D4">
        <w:rPr>
          <w:sz w:val="20"/>
          <w:szCs w:val="20"/>
        </w:rPr>
        <w:t xml:space="preserve"> in Metro Southwest.</w:t>
      </w:r>
      <w:r w:rsidRPr="003508D4">
        <w:rPr>
          <w:rStyle w:val="EndnoteReference"/>
          <w:i w:val="0"/>
          <w:sz w:val="20"/>
          <w:szCs w:val="20"/>
        </w:rPr>
        <w:endnoteReference w:id="31"/>
      </w:r>
    </w:p>
    <w:p w:rsidR="006E454F" w:rsidRPr="001D1A1C" w:rsidRDefault="006E454F" w:rsidP="001D1A1C">
      <w:pPr>
        <w:pStyle w:val="Heading2"/>
        <w:jc w:val="center"/>
        <w:rPr>
          <w:color w:val="943634" w:themeColor="accent2" w:themeShade="BF"/>
          <w:sz w:val="18"/>
        </w:rPr>
      </w:pPr>
      <w:r>
        <w:rPr>
          <w:noProof/>
          <w:color w:val="943634" w:themeColor="accent2" w:themeShade="BF"/>
          <w:sz w:val="18"/>
        </w:rPr>
        <w:drawing>
          <wp:inline distT="0" distB="0" distL="0" distR="0">
            <wp:extent cx="3918858" cy="2603500"/>
            <wp:effectExtent l="19050" t="0" r="5442" b="0"/>
            <wp:docPr id="4" name="Picture 3" descr="ch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jpg"/>
                    <pic:cNvPicPr/>
                  </pic:nvPicPr>
                  <pic:blipFill>
                    <a:blip r:embed="rId11" cstate="print"/>
                    <a:stretch>
                      <a:fillRect/>
                    </a:stretch>
                  </pic:blipFill>
                  <pic:spPr>
                    <a:xfrm>
                      <a:off x="0" y="0"/>
                      <a:ext cx="3932861" cy="2612803"/>
                    </a:xfrm>
                    <a:prstGeom prst="rect">
                      <a:avLst/>
                    </a:prstGeom>
                  </pic:spPr>
                </pic:pic>
              </a:graphicData>
            </a:graphic>
          </wp:inline>
        </w:drawing>
      </w:r>
    </w:p>
    <w:p w:rsidR="006E454F" w:rsidRPr="006E454F" w:rsidRDefault="006E454F" w:rsidP="006E454F">
      <w:pPr>
        <w:rPr>
          <w:sz w:val="2"/>
        </w:rPr>
      </w:pPr>
    </w:p>
    <w:p w:rsidR="008F76C3" w:rsidRPr="00437487" w:rsidRDefault="00720967" w:rsidP="00FE35BF">
      <w:pPr>
        <w:pStyle w:val="Heading2"/>
        <w:rPr>
          <w:sz w:val="20"/>
          <w:szCs w:val="20"/>
        </w:rPr>
      </w:pPr>
      <w:r w:rsidRPr="00437487">
        <w:rPr>
          <w:sz w:val="20"/>
          <w:szCs w:val="20"/>
        </w:rPr>
        <w:t>MSW is home to 44 secondary school districts</w:t>
      </w:r>
    </w:p>
    <w:p w:rsidR="00437487" w:rsidRDefault="00720967" w:rsidP="00437487">
      <w:pPr>
        <w:rPr>
          <w:sz w:val="6"/>
          <w:szCs w:val="18"/>
        </w:rPr>
      </w:pPr>
      <w:r w:rsidRPr="00437487">
        <w:rPr>
          <w:sz w:val="18"/>
          <w:szCs w:val="18"/>
        </w:rPr>
        <w:t xml:space="preserve">In addition to the 40 “comprehensive” high schools, there are four regional </w:t>
      </w:r>
      <w:proofErr w:type="gramStart"/>
      <w:r w:rsidRPr="00437487">
        <w:rPr>
          <w:sz w:val="18"/>
          <w:szCs w:val="18"/>
        </w:rPr>
        <w:t>career</w:t>
      </w:r>
      <w:proofErr w:type="gramEnd"/>
      <w:r w:rsidRPr="00437487">
        <w:rPr>
          <w:sz w:val="18"/>
          <w:szCs w:val="18"/>
        </w:rPr>
        <w:t xml:space="preserve"> technical schools schools—Minuteman in Lexington, Tri-County in Franklin, Blue Hills in Canton and Joseph P. Keefe in Framingham.</w:t>
      </w:r>
    </w:p>
    <w:p w:rsidR="00437487" w:rsidRDefault="00437487" w:rsidP="00437487">
      <w:pPr>
        <w:rPr>
          <w:sz w:val="6"/>
          <w:szCs w:val="18"/>
        </w:rPr>
      </w:pPr>
    </w:p>
    <w:p w:rsidR="006E454F" w:rsidRDefault="006E454F" w:rsidP="00437487">
      <w:pPr>
        <w:rPr>
          <w:sz w:val="6"/>
          <w:szCs w:val="18"/>
        </w:rPr>
      </w:pPr>
    </w:p>
    <w:p w:rsidR="001D1A1C" w:rsidRDefault="001D1A1C" w:rsidP="00437487">
      <w:pPr>
        <w:rPr>
          <w:sz w:val="6"/>
          <w:szCs w:val="18"/>
        </w:rPr>
      </w:pPr>
    </w:p>
    <w:p w:rsidR="001D1A1C" w:rsidRDefault="001D1A1C" w:rsidP="00437487">
      <w:pPr>
        <w:rPr>
          <w:sz w:val="6"/>
          <w:szCs w:val="18"/>
        </w:rPr>
      </w:pPr>
    </w:p>
    <w:p w:rsidR="001D1A1C" w:rsidRDefault="001D1A1C" w:rsidP="00437487">
      <w:pPr>
        <w:rPr>
          <w:sz w:val="6"/>
          <w:szCs w:val="18"/>
        </w:rPr>
      </w:pPr>
    </w:p>
    <w:p w:rsidR="001D1A1C" w:rsidRDefault="001D1A1C" w:rsidP="00437487">
      <w:pPr>
        <w:rPr>
          <w:sz w:val="6"/>
          <w:szCs w:val="18"/>
        </w:rPr>
      </w:pPr>
    </w:p>
    <w:p w:rsidR="009C5D5C" w:rsidRPr="00437487" w:rsidRDefault="00B04C77" w:rsidP="00437487">
      <w:pPr>
        <w:rPr>
          <w:b/>
          <w:color w:val="1F497D" w:themeColor="text2"/>
          <w:szCs w:val="20"/>
        </w:rPr>
      </w:pPr>
      <w:r w:rsidRPr="00437487">
        <w:rPr>
          <w:b/>
          <w:color w:val="1F497D" w:themeColor="text2"/>
          <w:szCs w:val="20"/>
        </w:rPr>
        <w:lastRenderedPageBreak/>
        <w:t>Health Care</w:t>
      </w:r>
    </w:p>
    <w:p w:rsidR="009C5D5C" w:rsidRPr="00882E99" w:rsidRDefault="001D20E2" w:rsidP="00882E99">
      <w:pPr>
        <w:pStyle w:val="Heading2"/>
        <w:spacing w:after="240"/>
        <w:rPr>
          <w:sz w:val="20"/>
          <w:szCs w:val="20"/>
        </w:rPr>
      </w:pPr>
      <w:r w:rsidRPr="00437487">
        <w:rPr>
          <w:sz w:val="20"/>
          <w:szCs w:val="20"/>
        </w:rPr>
        <w:t xml:space="preserve">In the </w:t>
      </w:r>
      <w:r w:rsidR="007E3009" w:rsidRPr="00437487">
        <w:rPr>
          <w:sz w:val="20"/>
          <w:szCs w:val="20"/>
        </w:rPr>
        <w:t>second quarter of 2013</w:t>
      </w:r>
      <w:r w:rsidRPr="00437487">
        <w:rPr>
          <w:sz w:val="20"/>
          <w:szCs w:val="20"/>
        </w:rPr>
        <w:t xml:space="preserve">, </w:t>
      </w:r>
      <w:r w:rsidR="007E3009" w:rsidRPr="00437487">
        <w:rPr>
          <w:sz w:val="20"/>
          <w:szCs w:val="20"/>
        </w:rPr>
        <w:t xml:space="preserve">ambulatory care </w:t>
      </w:r>
      <w:r w:rsidRPr="00437487">
        <w:rPr>
          <w:sz w:val="20"/>
          <w:szCs w:val="20"/>
        </w:rPr>
        <w:t>made up 4</w:t>
      </w:r>
      <w:r w:rsidR="007E3009" w:rsidRPr="00437487">
        <w:rPr>
          <w:sz w:val="20"/>
          <w:szCs w:val="20"/>
        </w:rPr>
        <w:t>8.9</w:t>
      </w:r>
      <w:r w:rsidRPr="00437487">
        <w:rPr>
          <w:sz w:val="20"/>
          <w:szCs w:val="20"/>
        </w:rPr>
        <w:t>% of the 52,</w:t>
      </w:r>
      <w:r w:rsidR="007E3009" w:rsidRPr="00437487">
        <w:rPr>
          <w:sz w:val="20"/>
          <w:szCs w:val="20"/>
        </w:rPr>
        <w:t>814</w:t>
      </w:r>
      <w:r w:rsidRPr="00437487">
        <w:rPr>
          <w:sz w:val="20"/>
          <w:szCs w:val="20"/>
        </w:rPr>
        <w:t xml:space="preserve"> health care jobs in MSW</w:t>
      </w:r>
      <w:r w:rsidRPr="00437487">
        <w:rPr>
          <w:rStyle w:val="EndnoteReference"/>
          <w:sz w:val="20"/>
          <w:szCs w:val="20"/>
        </w:rPr>
        <w:endnoteReference w:id="32"/>
      </w:r>
    </w:p>
    <w:p w:rsidR="00437487" w:rsidRPr="00191EFA" w:rsidRDefault="00191EFA" w:rsidP="00191EFA">
      <w:pPr>
        <w:pStyle w:val="NoSpacing"/>
        <w:spacing w:before="360"/>
        <w:jc w:val="center"/>
      </w:pPr>
      <w:r>
        <w:rPr>
          <w:noProof/>
        </w:rPr>
        <w:pict>
          <v:shape id="_x0000_s1055" type="#_x0000_t202" style="position:absolute;left:0;text-align:left;margin-left:49.55pt;margin-top:207.9pt;width:369.35pt;height:78.55pt;z-index:251677696" filled="f" stroked="f">
            <v:textbox>
              <w:txbxContent>
                <w:p w:rsidR="00191EFA" w:rsidRPr="009C5D5C" w:rsidRDefault="00191EFA" w:rsidP="00191EFA">
                  <w:pPr>
                    <w:spacing w:before="60" w:after="0" w:line="240" w:lineRule="auto"/>
                    <w:ind w:right="446"/>
                    <w:rPr>
                      <w:noProof/>
                      <w:sz w:val="18"/>
                      <w:szCs w:val="16"/>
                    </w:rPr>
                  </w:pPr>
                  <w:r w:rsidRPr="009C5D5C">
                    <w:rPr>
                      <w:noProof/>
                      <w:sz w:val="18"/>
                      <w:szCs w:val="16"/>
                    </w:rPr>
                    <w:t>Hospitals include medical, surgical, psychiatric and substance abuse hospitals.</w:t>
                  </w:r>
                </w:p>
                <w:p w:rsidR="00191EFA" w:rsidRPr="009C5D5C" w:rsidRDefault="00191EFA" w:rsidP="00191EFA">
                  <w:pPr>
                    <w:spacing w:after="0" w:line="240" w:lineRule="auto"/>
                    <w:ind w:right="450"/>
                    <w:rPr>
                      <w:noProof/>
                      <w:sz w:val="18"/>
                      <w:szCs w:val="16"/>
                    </w:rPr>
                  </w:pPr>
                  <w:r w:rsidRPr="009C5D5C">
                    <w:rPr>
                      <w:noProof/>
                      <w:sz w:val="18"/>
                      <w:szCs w:val="16"/>
                    </w:rPr>
                    <w:t>Ambulatory care includes doctor’s and dentist’s offices, medical and diagnostic labs and home health care.</w:t>
                  </w:r>
                </w:p>
                <w:p w:rsidR="00191EFA" w:rsidRPr="009C5D5C" w:rsidRDefault="00191EFA" w:rsidP="00191EFA">
                  <w:pPr>
                    <w:spacing w:after="0" w:line="240" w:lineRule="auto"/>
                    <w:ind w:right="450"/>
                    <w:rPr>
                      <w:noProof/>
                      <w:sz w:val="22"/>
                    </w:rPr>
                  </w:pPr>
                  <w:r w:rsidRPr="009C5D5C">
                    <w:rPr>
                      <w:noProof/>
                      <w:sz w:val="18"/>
                      <w:szCs w:val="16"/>
                    </w:rPr>
                    <w:t>Nursing and residential care include nursing homes, residential mental health facilities, and community care facilities for the elderly.</w:t>
                  </w:r>
                </w:p>
                <w:p w:rsidR="00191EFA" w:rsidRDefault="00191EFA"/>
              </w:txbxContent>
            </v:textbox>
          </v:shape>
        </w:pict>
      </w:r>
      <w:r w:rsidR="001B5BD8">
        <w:rPr>
          <w:noProof/>
        </w:rPr>
        <w:drawing>
          <wp:inline distT="0" distB="0" distL="0" distR="0">
            <wp:extent cx="4707329" cy="2605872"/>
            <wp:effectExtent l="19050" t="0" r="17071" b="3978"/>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120A" w:rsidRDefault="005F120A" w:rsidP="005F120A">
      <w:pPr>
        <w:spacing w:after="0" w:line="240" w:lineRule="auto"/>
      </w:pPr>
    </w:p>
    <w:p w:rsidR="005F120A" w:rsidRDefault="005F120A" w:rsidP="005F120A">
      <w:pPr>
        <w:spacing w:after="0" w:line="240" w:lineRule="auto"/>
      </w:pPr>
    </w:p>
    <w:p w:rsidR="005F120A" w:rsidRDefault="005F120A" w:rsidP="005F120A">
      <w:pPr>
        <w:spacing w:after="0" w:line="240" w:lineRule="auto"/>
      </w:pPr>
    </w:p>
    <w:p w:rsidR="005F120A" w:rsidRDefault="005F120A" w:rsidP="005F120A">
      <w:pPr>
        <w:spacing w:after="0" w:line="240" w:lineRule="auto"/>
      </w:pPr>
    </w:p>
    <w:p w:rsidR="005F120A" w:rsidRDefault="005F120A" w:rsidP="005F120A">
      <w:pPr>
        <w:spacing w:after="0" w:line="240" w:lineRule="auto"/>
      </w:pPr>
    </w:p>
    <w:p w:rsidR="005F120A" w:rsidRDefault="005F120A" w:rsidP="005F120A">
      <w:pPr>
        <w:spacing w:after="0" w:line="240" w:lineRule="auto"/>
      </w:pPr>
    </w:p>
    <w:p w:rsidR="00D47BE2" w:rsidRDefault="00D47BE2" w:rsidP="005F120A">
      <w:pPr>
        <w:spacing w:after="0" w:line="240" w:lineRule="auto"/>
        <w:rPr>
          <w:b/>
          <w:i/>
          <w:sz w:val="2"/>
          <w:szCs w:val="20"/>
        </w:rPr>
      </w:pPr>
      <w:r w:rsidRPr="009137AF">
        <w:rPr>
          <w:b/>
          <w:i/>
          <w:szCs w:val="20"/>
        </w:rPr>
        <w:t xml:space="preserve">Occupational </w:t>
      </w:r>
      <w:r w:rsidR="00227B71" w:rsidRPr="009137AF">
        <w:rPr>
          <w:b/>
          <w:i/>
          <w:szCs w:val="20"/>
        </w:rPr>
        <w:t>d</w:t>
      </w:r>
      <w:r w:rsidRPr="009137AF">
        <w:rPr>
          <w:b/>
          <w:i/>
          <w:szCs w:val="20"/>
        </w:rPr>
        <w:t xml:space="preserve">istributions </w:t>
      </w:r>
      <w:r w:rsidR="00227B71" w:rsidRPr="009137AF">
        <w:rPr>
          <w:b/>
          <w:i/>
          <w:szCs w:val="20"/>
        </w:rPr>
        <w:t>v</w:t>
      </w:r>
      <w:r w:rsidRPr="009137AF">
        <w:rPr>
          <w:b/>
          <w:i/>
          <w:szCs w:val="20"/>
        </w:rPr>
        <w:t xml:space="preserve">ary by </w:t>
      </w:r>
      <w:r w:rsidR="00227B71" w:rsidRPr="009137AF">
        <w:rPr>
          <w:b/>
          <w:i/>
          <w:szCs w:val="20"/>
        </w:rPr>
        <w:t>h</w:t>
      </w:r>
      <w:r w:rsidRPr="009137AF">
        <w:rPr>
          <w:b/>
          <w:i/>
          <w:szCs w:val="20"/>
        </w:rPr>
        <w:t xml:space="preserve">ealth </w:t>
      </w:r>
      <w:r w:rsidR="00227B71" w:rsidRPr="009137AF">
        <w:rPr>
          <w:b/>
          <w:i/>
          <w:szCs w:val="20"/>
        </w:rPr>
        <w:t>c</w:t>
      </w:r>
      <w:r w:rsidRPr="009137AF">
        <w:rPr>
          <w:b/>
          <w:i/>
          <w:szCs w:val="20"/>
        </w:rPr>
        <w:t xml:space="preserve">are </w:t>
      </w:r>
      <w:r w:rsidR="00227B71" w:rsidRPr="009137AF">
        <w:rPr>
          <w:b/>
          <w:i/>
          <w:szCs w:val="20"/>
        </w:rPr>
        <w:t>s</w:t>
      </w:r>
      <w:r w:rsidRPr="009137AF">
        <w:rPr>
          <w:b/>
          <w:i/>
          <w:szCs w:val="20"/>
        </w:rPr>
        <w:t>ubsectors</w:t>
      </w:r>
    </w:p>
    <w:p w:rsidR="009137AF" w:rsidRDefault="009137AF" w:rsidP="005F120A">
      <w:pPr>
        <w:spacing w:after="0" w:line="240" w:lineRule="auto"/>
        <w:rPr>
          <w:b/>
          <w:i/>
          <w:sz w:val="2"/>
          <w:szCs w:val="20"/>
        </w:rPr>
      </w:pPr>
    </w:p>
    <w:p w:rsidR="009137AF" w:rsidRDefault="009137AF" w:rsidP="005F120A">
      <w:pPr>
        <w:spacing w:after="0" w:line="240" w:lineRule="auto"/>
        <w:rPr>
          <w:b/>
          <w:i/>
          <w:sz w:val="2"/>
          <w:szCs w:val="20"/>
        </w:rPr>
      </w:pPr>
    </w:p>
    <w:p w:rsidR="009137AF" w:rsidRDefault="009137AF" w:rsidP="005F120A">
      <w:pPr>
        <w:spacing w:after="0" w:line="240" w:lineRule="auto"/>
        <w:rPr>
          <w:b/>
          <w:i/>
          <w:sz w:val="2"/>
          <w:szCs w:val="20"/>
        </w:rPr>
      </w:pPr>
    </w:p>
    <w:p w:rsidR="009137AF" w:rsidRDefault="009137AF" w:rsidP="005F120A">
      <w:pPr>
        <w:spacing w:after="0" w:line="240" w:lineRule="auto"/>
        <w:rPr>
          <w:b/>
          <w:i/>
          <w:sz w:val="2"/>
          <w:szCs w:val="20"/>
        </w:rPr>
      </w:pPr>
    </w:p>
    <w:p w:rsidR="009137AF" w:rsidRPr="009137AF" w:rsidRDefault="009137AF" w:rsidP="005F120A">
      <w:pPr>
        <w:spacing w:after="0" w:line="240" w:lineRule="auto"/>
        <w:rPr>
          <w:b/>
          <w:i/>
          <w:sz w:val="2"/>
          <w:szCs w:val="20"/>
        </w:rPr>
      </w:pPr>
    </w:p>
    <w:p w:rsidR="005F120A" w:rsidRPr="005F120A" w:rsidRDefault="005F120A" w:rsidP="005F120A">
      <w:pPr>
        <w:spacing w:after="0" w:line="240" w:lineRule="auto"/>
        <w:rPr>
          <w:rFonts w:asciiTheme="minorHAnsi" w:hAnsiTheme="minorHAnsi"/>
          <w:b/>
          <w:i/>
          <w:spacing w:val="-5"/>
          <w:sz w:val="6"/>
          <w:szCs w:val="18"/>
        </w:rPr>
      </w:pPr>
    </w:p>
    <w:p w:rsidR="006E454F" w:rsidRPr="001A5E9A" w:rsidRDefault="00D47BE2" w:rsidP="001A5E9A">
      <w:pPr>
        <w:rPr>
          <w:sz w:val="18"/>
          <w:szCs w:val="18"/>
        </w:rPr>
      </w:pPr>
      <w:r w:rsidRPr="007D3424">
        <w:rPr>
          <w:sz w:val="18"/>
          <w:szCs w:val="18"/>
        </w:rPr>
        <w:t xml:space="preserve">Health care practitioners and technicians make up 40% of the ambulatory care workforce compared to 50% of the hospital workforce and 20% of the nursing and residential care workforce. </w:t>
      </w:r>
      <w:r w:rsidRPr="007D3424">
        <w:rPr>
          <w:rStyle w:val="EndnoteReference"/>
          <w:sz w:val="18"/>
          <w:szCs w:val="18"/>
        </w:rPr>
        <w:endnoteReference w:id="33"/>
      </w:r>
    </w:p>
    <w:p w:rsidR="006E454F" w:rsidRDefault="006E454F" w:rsidP="007538DA">
      <w:pPr>
        <w:pStyle w:val="NoSpacing"/>
        <w:jc w:val="center"/>
        <w:rPr>
          <w:noProof/>
        </w:rPr>
      </w:pPr>
    </w:p>
    <w:p w:rsidR="006E454F" w:rsidRDefault="006E454F" w:rsidP="007538DA">
      <w:pPr>
        <w:pStyle w:val="NoSpacing"/>
        <w:jc w:val="center"/>
      </w:pPr>
      <w:r>
        <w:rPr>
          <w:noProof/>
        </w:rPr>
        <w:drawing>
          <wp:inline distT="0" distB="0" distL="0" distR="0">
            <wp:extent cx="5095540" cy="2705100"/>
            <wp:effectExtent l="19050" t="0" r="0" b="0"/>
            <wp:docPr id="6" name="Picture 5" descr="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jpg"/>
                    <pic:cNvPicPr/>
                  </pic:nvPicPr>
                  <pic:blipFill>
                    <a:blip r:embed="rId13" cstate="print"/>
                    <a:stretch>
                      <a:fillRect/>
                    </a:stretch>
                  </pic:blipFill>
                  <pic:spPr>
                    <a:xfrm>
                      <a:off x="0" y="0"/>
                      <a:ext cx="5104787" cy="2710009"/>
                    </a:xfrm>
                    <a:prstGeom prst="rect">
                      <a:avLst/>
                    </a:prstGeom>
                  </pic:spPr>
                </pic:pic>
              </a:graphicData>
            </a:graphic>
          </wp:inline>
        </w:drawing>
      </w:r>
    </w:p>
    <w:p w:rsidR="00C24CC8" w:rsidRPr="00437487" w:rsidRDefault="008A01B6" w:rsidP="00DA26D0">
      <w:pPr>
        <w:pStyle w:val="Heading2"/>
        <w:spacing w:before="720"/>
        <w:rPr>
          <w:sz w:val="20"/>
          <w:szCs w:val="20"/>
        </w:rPr>
      </w:pPr>
      <w:r w:rsidRPr="00437487">
        <w:rPr>
          <w:sz w:val="20"/>
          <w:szCs w:val="20"/>
        </w:rPr>
        <w:lastRenderedPageBreak/>
        <w:t>78% of the health care jobs do not require a bachelor’s degree.</w:t>
      </w:r>
      <w:r w:rsidRPr="00437487">
        <w:rPr>
          <w:rStyle w:val="EndnoteReference"/>
          <w:sz w:val="20"/>
          <w:szCs w:val="20"/>
        </w:rPr>
        <w:endnoteReference w:id="34"/>
      </w:r>
    </w:p>
    <w:p w:rsidR="00E21578" w:rsidRDefault="00A07619" w:rsidP="007538DA">
      <w:pPr>
        <w:pStyle w:val="Heading2"/>
        <w:keepNext w:val="0"/>
        <w:spacing w:after="0"/>
        <w:jc w:val="center"/>
      </w:pPr>
      <w:r>
        <w:rPr>
          <w:noProof/>
        </w:rPr>
        <w:pict>
          <v:rect id="_x0000_s1053" style="position:absolute;left:0;text-align:left;margin-left:49.55pt;margin-top:9.1pt;width:371.25pt;height:159.9pt;z-index:251676672" filled="f"/>
        </w:pict>
      </w:r>
      <w:r w:rsidR="00E21578">
        <w:rPr>
          <w:noProof/>
        </w:rPr>
        <w:drawing>
          <wp:inline distT="0" distB="0" distL="0" distR="0">
            <wp:extent cx="4707330" cy="2066307"/>
            <wp:effectExtent l="19050" t="0" r="1707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1578" w:rsidRDefault="005E5157" w:rsidP="007538DA">
      <w:pPr>
        <w:spacing w:before="60" w:line="240" w:lineRule="auto"/>
        <w:ind w:left="90"/>
        <w:rPr>
          <w:sz w:val="16"/>
          <w:szCs w:val="16"/>
        </w:rPr>
      </w:pPr>
      <w:r>
        <w:rPr>
          <w:sz w:val="10"/>
          <w:szCs w:val="16"/>
        </w:rPr>
        <w:tab/>
        <w:t xml:space="preserve">              </w:t>
      </w:r>
      <w:r w:rsidR="00E21578" w:rsidRPr="00050E0B">
        <w:rPr>
          <w:sz w:val="16"/>
          <w:szCs w:val="16"/>
        </w:rPr>
        <w:t xml:space="preserve">These percentages </w:t>
      </w:r>
      <w:r w:rsidR="0016186B" w:rsidRPr="00050E0B">
        <w:rPr>
          <w:sz w:val="16"/>
          <w:szCs w:val="16"/>
        </w:rPr>
        <w:t>d</w:t>
      </w:r>
      <w:r w:rsidR="00E21578" w:rsidRPr="00050E0B">
        <w:rPr>
          <w:sz w:val="16"/>
          <w:szCs w:val="16"/>
        </w:rPr>
        <w:t xml:space="preserve">o not sum to 100 because the occupations requiring </w:t>
      </w:r>
      <w:r w:rsidR="00667026">
        <w:rPr>
          <w:sz w:val="16"/>
          <w:szCs w:val="16"/>
        </w:rPr>
        <w:t xml:space="preserve">a </w:t>
      </w:r>
      <w:r w:rsidR="00E21578" w:rsidRPr="00050E0B">
        <w:rPr>
          <w:sz w:val="16"/>
          <w:szCs w:val="16"/>
        </w:rPr>
        <w:t>Doctorate are omitted.</w:t>
      </w:r>
    </w:p>
    <w:p w:rsidR="004E2B61" w:rsidRDefault="004E2B61" w:rsidP="004E2B61">
      <w:pPr>
        <w:spacing w:after="0" w:line="240" w:lineRule="auto"/>
      </w:pPr>
    </w:p>
    <w:p w:rsidR="00B53D95" w:rsidRPr="00290769" w:rsidRDefault="002F371A" w:rsidP="004E2B61">
      <w:pPr>
        <w:spacing w:after="0" w:line="240" w:lineRule="auto"/>
        <w:rPr>
          <w:b/>
          <w:i/>
          <w:sz w:val="8"/>
          <w:szCs w:val="20"/>
        </w:rPr>
      </w:pPr>
      <w:r w:rsidRPr="00290769">
        <w:rPr>
          <w:b/>
          <w:i/>
          <w:szCs w:val="20"/>
        </w:rPr>
        <w:t xml:space="preserve">Health care jobs </w:t>
      </w:r>
      <w:r w:rsidR="007A200A" w:rsidRPr="00290769">
        <w:rPr>
          <w:b/>
          <w:i/>
          <w:szCs w:val="20"/>
        </w:rPr>
        <w:t>are</w:t>
      </w:r>
      <w:r w:rsidRPr="00290769">
        <w:rPr>
          <w:b/>
          <w:i/>
          <w:szCs w:val="20"/>
        </w:rPr>
        <w:t xml:space="preserve"> a</w:t>
      </w:r>
      <w:r w:rsidR="007A200A" w:rsidRPr="00290769">
        <w:rPr>
          <w:b/>
          <w:i/>
          <w:szCs w:val="20"/>
        </w:rPr>
        <w:t xml:space="preserve"> pathway to economic self-sufficiency</w:t>
      </w:r>
    </w:p>
    <w:p w:rsidR="004E2B61" w:rsidRDefault="004E2B61" w:rsidP="004E2B61">
      <w:pPr>
        <w:spacing w:after="0" w:line="240" w:lineRule="auto"/>
        <w:rPr>
          <w:b/>
          <w:sz w:val="8"/>
          <w:szCs w:val="20"/>
        </w:rPr>
      </w:pPr>
    </w:p>
    <w:p w:rsidR="004E2B61" w:rsidRPr="004E2B61" w:rsidRDefault="004E2B61" w:rsidP="004E2B61">
      <w:pPr>
        <w:spacing w:after="0" w:line="240" w:lineRule="auto"/>
        <w:rPr>
          <w:rFonts w:asciiTheme="minorHAnsi" w:hAnsiTheme="minorHAnsi"/>
          <w:b/>
          <w:i/>
          <w:spacing w:val="-5"/>
          <w:sz w:val="8"/>
          <w:szCs w:val="18"/>
        </w:rPr>
      </w:pPr>
    </w:p>
    <w:p w:rsidR="00616CB1" w:rsidRDefault="00250E86" w:rsidP="00616CB1">
      <w:pPr>
        <w:keepNext/>
        <w:keepLines/>
        <w:rPr>
          <w:sz w:val="8"/>
          <w:szCs w:val="18"/>
        </w:rPr>
      </w:pPr>
      <w:r w:rsidRPr="0049281D">
        <w:rPr>
          <w:sz w:val="18"/>
          <w:szCs w:val="18"/>
        </w:rPr>
        <w:t>Salaries range from $22,</w:t>
      </w:r>
      <w:r w:rsidR="002F371A" w:rsidRPr="0049281D">
        <w:rPr>
          <w:sz w:val="18"/>
          <w:szCs w:val="18"/>
        </w:rPr>
        <w:t xml:space="preserve">430 for jobs not requiring </w:t>
      </w:r>
      <w:r w:rsidR="00667026" w:rsidRPr="0049281D">
        <w:rPr>
          <w:sz w:val="18"/>
          <w:szCs w:val="18"/>
        </w:rPr>
        <w:t xml:space="preserve">a </w:t>
      </w:r>
      <w:r w:rsidR="002F371A" w:rsidRPr="0049281D">
        <w:rPr>
          <w:sz w:val="18"/>
          <w:szCs w:val="18"/>
        </w:rPr>
        <w:t xml:space="preserve">post-secondary </w:t>
      </w:r>
      <w:r w:rsidR="00667026" w:rsidRPr="0049281D">
        <w:rPr>
          <w:sz w:val="18"/>
          <w:szCs w:val="18"/>
        </w:rPr>
        <w:t xml:space="preserve">degree </w:t>
      </w:r>
      <w:r w:rsidR="002F371A" w:rsidRPr="0049281D">
        <w:rPr>
          <w:sz w:val="18"/>
          <w:szCs w:val="18"/>
        </w:rPr>
        <w:t>(pharmacy aide) to $89,960 for jobs requiring a master’s degree (physician assistant).</w:t>
      </w:r>
      <w:r w:rsidR="002F371A" w:rsidRPr="0049281D">
        <w:rPr>
          <w:rStyle w:val="EndnoteReference"/>
          <w:sz w:val="18"/>
          <w:szCs w:val="18"/>
        </w:rPr>
        <w:endnoteReference w:id="35"/>
      </w:r>
    </w:p>
    <w:p w:rsidR="0049281D" w:rsidRDefault="0049281D" w:rsidP="00616CB1">
      <w:pPr>
        <w:keepNext/>
        <w:keepLines/>
        <w:rPr>
          <w:sz w:val="8"/>
          <w:szCs w:val="18"/>
        </w:rPr>
      </w:pPr>
    </w:p>
    <w:p w:rsidR="0049281D" w:rsidRPr="004E2B61" w:rsidRDefault="0049281D" w:rsidP="00616CB1">
      <w:pPr>
        <w:keepNext/>
        <w:keepLines/>
        <w:rPr>
          <w:sz w:val="2"/>
          <w:szCs w:val="18"/>
        </w:rPr>
      </w:pPr>
    </w:p>
    <w:tbl>
      <w:tblPr>
        <w:tblW w:w="0" w:type="auto"/>
        <w:jc w:val="center"/>
        <w:tblInd w:w="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DB3E2" w:themeFill="text2" w:themeFillTint="66"/>
        <w:tblLayout w:type="fixed"/>
        <w:tblCellMar>
          <w:left w:w="30" w:type="dxa"/>
          <w:right w:w="30" w:type="dxa"/>
        </w:tblCellMar>
        <w:tblLook w:val="0000"/>
      </w:tblPr>
      <w:tblGrid>
        <w:gridCol w:w="3724"/>
        <w:gridCol w:w="2483"/>
      </w:tblGrid>
      <w:tr w:rsidR="00674577" w:rsidTr="0049281D">
        <w:trPr>
          <w:trHeight w:val="259"/>
          <w:jc w:val="center"/>
        </w:trPr>
        <w:tc>
          <w:tcPr>
            <w:tcW w:w="6207" w:type="dxa"/>
            <w:gridSpan w:val="2"/>
            <w:tcBorders>
              <w:bottom w:val="single" w:sz="4" w:space="0" w:color="auto"/>
            </w:tcBorders>
            <w:shd w:val="clear" w:color="auto" w:fill="8DB3E2" w:themeFill="text2" w:themeFillTint="66"/>
            <w:vAlign w:val="center"/>
          </w:tcPr>
          <w:p w:rsidR="00674577" w:rsidRDefault="00674577" w:rsidP="00DA26D0">
            <w:pPr>
              <w:pStyle w:val="Title"/>
            </w:pPr>
            <w:r>
              <w:t>Average Annual Salaries by Achievement</w:t>
            </w:r>
          </w:p>
        </w:tc>
      </w:tr>
      <w:tr w:rsidR="00674577" w:rsidTr="0049281D">
        <w:trPr>
          <w:trHeight w:val="259"/>
          <w:jc w:val="center"/>
        </w:trPr>
        <w:tc>
          <w:tcPr>
            <w:tcW w:w="3724" w:type="dxa"/>
            <w:tcBorders>
              <w:top w:val="single" w:sz="4" w:space="0" w:color="auto"/>
              <w:bottom w:val="single" w:sz="12" w:space="0" w:color="auto"/>
              <w:right w:val="single" w:sz="4" w:space="0" w:color="auto"/>
            </w:tcBorders>
            <w:shd w:val="clear" w:color="auto" w:fill="FFFFFF" w:themeFill="background1"/>
            <w:vAlign w:val="center"/>
          </w:tcPr>
          <w:p w:rsidR="00674577" w:rsidRDefault="00674577" w:rsidP="00DA26D0">
            <w:pPr>
              <w:pStyle w:val="Subtitle"/>
            </w:pPr>
            <w:r>
              <w:t>Education Requirement</w:t>
            </w:r>
          </w:p>
        </w:tc>
        <w:tc>
          <w:tcPr>
            <w:tcW w:w="2483" w:type="dxa"/>
            <w:tcBorders>
              <w:top w:val="single" w:sz="4" w:space="0" w:color="auto"/>
              <w:left w:val="single" w:sz="4" w:space="0" w:color="auto"/>
              <w:bottom w:val="single" w:sz="12" w:space="0" w:color="auto"/>
            </w:tcBorders>
            <w:shd w:val="clear" w:color="auto" w:fill="FFFFFF" w:themeFill="background1"/>
            <w:vAlign w:val="center"/>
          </w:tcPr>
          <w:p w:rsidR="00674577" w:rsidRDefault="00674577" w:rsidP="00DA26D0">
            <w:pPr>
              <w:pStyle w:val="Subtitle"/>
            </w:pPr>
            <w:r>
              <w:t>Salary Range</w:t>
            </w:r>
          </w:p>
        </w:tc>
      </w:tr>
      <w:tr w:rsidR="00674577" w:rsidTr="0049281D">
        <w:trPr>
          <w:trHeight w:val="259"/>
          <w:jc w:val="center"/>
        </w:trPr>
        <w:tc>
          <w:tcPr>
            <w:tcW w:w="3724" w:type="dxa"/>
            <w:tcBorders>
              <w:top w:val="single" w:sz="12" w:space="0" w:color="auto"/>
              <w:left w:val="single" w:sz="8" w:space="0" w:color="auto"/>
              <w:bottom w:val="single" w:sz="8" w:space="0" w:color="auto"/>
              <w:right w:val="single" w:sz="8" w:space="0" w:color="auto"/>
            </w:tcBorders>
            <w:shd w:val="clear" w:color="auto" w:fill="FFFFFF" w:themeFill="background1"/>
            <w:vAlign w:val="center"/>
          </w:tcPr>
          <w:p w:rsidR="00674577" w:rsidRDefault="00674577" w:rsidP="00DA26D0">
            <w:pPr>
              <w:pStyle w:val="TableBody"/>
              <w:jc w:val="left"/>
            </w:pPr>
            <w:r>
              <w:t>No post-secondary education requirement</w:t>
            </w:r>
          </w:p>
        </w:tc>
        <w:tc>
          <w:tcPr>
            <w:tcW w:w="2483" w:type="dxa"/>
            <w:tcBorders>
              <w:top w:val="single" w:sz="12" w:space="0" w:color="auto"/>
              <w:left w:val="single" w:sz="8" w:space="0" w:color="auto"/>
              <w:bottom w:val="single" w:sz="8" w:space="0" w:color="auto"/>
              <w:right w:val="single" w:sz="8" w:space="0" w:color="auto"/>
            </w:tcBorders>
            <w:shd w:val="clear" w:color="auto" w:fill="FFFFFF" w:themeFill="background1"/>
            <w:vAlign w:val="center"/>
          </w:tcPr>
          <w:p w:rsidR="00674577" w:rsidRDefault="00795431" w:rsidP="00795431">
            <w:pPr>
              <w:pStyle w:val="TableBody"/>
            </w:pPr>
            <w:r>
              <w:t>$22,430–</w:t>
            </w:r>
            <w:r w:rsidR="00674577">
              <w:t>$47,480</w:t>
            </w:r>
          </w:p>
        </w:tc>
      </w:tr>
      <w:tr w:rsidR="00674577" w:rsidTr="0049281D">
        <w:trPr>
          <w:trHeight w:val="259"/>
          <w:jc w:val="center"/>
        </w:trPr>
        <w:tc>
          <w:tcPr>
            <w:tcW w:w="3724" w:type="dxa"/>
            <w:tcBorders>
              <w:top w:val="single" w:sz="8" w:space="0" w:color="auto"/>
            </w:tcBorders>
            <w:shd w:val="clear" w:color="auto" w:fill="FFFFFF" w:themeFill="background1"/>
            <w:vAlign w:val="center"/>
          </w:tcPr>
          <w:p w:rsidR="00674577" w:rsidRDefault="00674577" w:rsidP="00DA26D0">
            <w:pPr>
              <w:pStyle w:val="TableBody"/>
              <w:jc w:val="left"/>
            </w:pPr>
            <w:r>
              <w:t>Certificate required</w:t>
            </w:r>
          </w:p>
        </w:tc>
        <w:tc>
          <w:tcPr>
            <w:tcW w:w="2483" w:type="dxa"/>
            <w:tcBorders>
              <w:top w:val="single" w:sz="8" w:space="0" w:color="auto"/>
            </w:tcBorders>
            <w:shd w:val="clear" w:color="auto" w:fill="FFFFFF" w:themeFill="background1"/>
            <w:vAlign w:val="center"/>
          </w:tcPr>
          <w:p w:rsidR="00674577" w:rsidRDefault="00795431" w:rsidP="00795431">
            <w:pPr>
              <w:pStyle w:val="TableBody"/>
            </w:pPr>
            <w:r>
              <w:t>$28,480–</w:t>
            </w:r>
            <w:r w:rsidR="00674577">
              <w:t>$47,480</w:t>
            </w:r>
          </w:p>
        </w:tc>
      </w:tr>
      <w:tr w:rsidR="00674577" w:rsidTr="0049281D">
        <w:trPr>
          <w:trHeight w:val="259"/>
          <w:jc w:val="center"/>
        </w:trPr>
        <w:tc>
          <w:tcPr>
            <w:tcW w:w="3724" w:type="dxa"/>
            <w:shd w:val="clear" w:color="auto" w:fill="FFFFFF" w:themeFill="background1"/>
            <w:vAlign w:val="center"/>
          </w:tcPr>
          <w:p w:rsidR="00674577" w:rsidRDefault="00674577" w:rsidP="00DA26D0">
            <w:pPr>
              <w:pStyle w:val="TableBody"/>
              <w:jc w:val="left"/>
            </w:pPr>
            <w:r>
              <w:t>Associate's degree</w:t>
            </w:r>
          </w:p>
        </w:tc>
        <w:tc>
          <w:tcPr>
            <w:tcW w:w="2483" w:type="dxa"/>
            <w:shd w:val="clear" w:color="auto" w:fill="FFFFFF" w:themeFill="background1"/>
            <w:vAlign w:val="center"/>
          </w:tcPr>
          <w:p w:rsidR="00674577" w:rsidRDefault="001865A5" w:rsidP="00795431">
            <w:pPr>
              <w:pStyle w:val="TableBody"/>
            </w:pPr>
            <w:r>
              <w:t>$35,160–$67,200</w:t>
            </w:r>
          </w:p>
        </w:tc>
      </w:tr>
      <w:tr w:rsidR="00674577" w:rsidTr="0049281D">
        <w:trPr>
          <w:trHeight w:val="259"/>
          <w:jc w:val="center"/>
        </w:trPr>
        <w:tc>
          <w:tcPr>
            <w:tcW w:w="3724" w:type="dxa"/>
            <w:shd w:val="clear" w:color="auto" w:fill="FFFFFF" w:themeFill="background1"/>
            <w:vAlign w:val="center"/>
          </w:tcPr>
          <w:p w:rsidR="00674577" w:rsidRDefault="00674577" w:rsidP="00DA26D0">
            <w:pPr>
              <w:pStyle w:val="TableBody"/>
              <w:jc w:val="left"/>
            </w:pPr>
            <w:r>
              <w:t>Bachelor's degree</w:t>
            </w:r>
          </w:p>
        </w:tc>
        <w:tc>
          <w:tcPr>
            <w:tcW w:w="2483" w:type="dxa"/>
            <w:shd w:val="clear" w:color="auto" w:fill="FFFFFF" w:themeFill="background1"/>
            <w:vAlign w:val="center"/>
          </w:tcPr>
          <w:p w:rsidR="00674577" w:rsidRDefault="001865A5" w:rsidP="001865A5">
            <w:pPr>
              <w:pStyle w:val="TableBody"/>
            </w:pPr>
            <w:r>
              <w:t>$37,710–$86,450</w:t>
            </w:r>
          </w:p>
        </w:tc>
      </w:tr>
      <w:tr w:rsidR="00674577" w:rsidTr="0049281D">
        <w:trPr>
          <w:trHeight w:val="259"/>
          <w:jc w:val="center"/>
        </w:trPr>
        <w:tc>
          <w:tcPr>
            <w:tcW w:w="3724" w:type="dxa"/>
            <w:shd w:val="clear" w:color="auto" w:fill="FFFFFF" w:themeFill="background1"/>
            <w:vAlign w:val="center"/>
          </w:tcPr>
          <w:p w:rsidR="00674577" w:rsidRDefault="00674577" w:rsidP="00DA26D0">
            <w:pPr>
              <w:pStyle w:val="TableBody"/>
              <w:jc w:val="left"/>
            </w:pPr>
            <w:r>
              <w:t>Master's degree</w:t>
            </w:r>
          </w:p>
        </w:tc>
        <w:tc>
          <w:tcPr>
            <w:tcW w:w="2483" w:type="dxa"/>
            <w:shd w:val="clear" w:color="auto" w:fill="FFFFFF" w:themeFill="background1"/>
            <w:vAlign w:val="center"/>
          </w:tcPr>
          <w:p w:rsidR="00674577" w:rsidRDefault="00795431" w:rsidP="00795431">
            <w:pPr>
              <w:pStyle w:val="TableBody"/>
            </w:pPr>
            <w:r>
              <w:t>$35,940–</w:t>
            </w:r>
            <w:r w:rsidR="00674577">
              <w:t>$89,960</w:t>
            </w:r>
          </w:p>
        </w:tc>
      </w:tr>
    </w:tbl>
    <w:p w:rsidR="0053689F" w:rsidRDefault="0053689F" w:rsidP="001768EC">
      <w:pPr>
        <w:pStyle w:val="Heading1"/>
        <w:rPr>
          <w:sz w:val="20"/>
        </w:rPr>
      </w:pPr>
    </w:p>
    <w:p w:rsidR="0053689F" w:rsidRDefault="0053689F" w:rsidP="0053689F"/>
    <w:p w:rsidR="0053689F" w:rsidRDefault="0053689F" w:rsidP="0053689F"/>
    <w:p w:rsidR="0053689F" w:rsidRDefault="0053689F" w:rsidP="0053689F"/>
    <w:p w:rsidR="0053689F" w:rsidRDefault="0053689F" w:rsidP="0053689F"/>
    <w:p w:rsidR="0053689F" w:rsidRDefault="0053689F" w:rsidP="0053689F"/>
    <w:p w:rsidR="0053689F" w:rsidRDefault="0053689F" w:rsidP="0053689F"/>
    <w:p w:rsidR="0053689F" w:rsidRPr="0053689F" w:rsidRDefault="0053689F" w:rsidP="0053689F"/>
    <w:p w:rsidR="006D3464" w:rsidRPr="0049281D" w:rsidRDefault="006D3464" w:rsidP="001768EC">
      <w:pPr>
        <w:pStyle w:val="Heading1"/>
        <w:rPr>
          <w:sz w:val="20"/>
        </w:rPr>
      </w:pPr>
      <w:r w:rsidRPr="0049281D">
        <w:rPr>
          <w:sz w:val="20"/>
        </w:rPr>
        <w:lastRenderedPageBreak/>
        <w:t>Advanced Manufacturing</w:t>
      </w:r>
    </w:p>
    <w:p w:rsidR="00DB09D8" w:rsidRDefault="00A63D1C" w:rsidP="00FE35BF">
      <w:pPr>
        <w:pStyle w:val="Heading2"/>
        <w:rPr>
          <w:sz w:val="6"/>
          <w:szCs w:val="20"/>
        </w:rPr>
      </w:pPr>
      <w:r w:rsidRPr="0049281D">
        <w:rPr>
          <w:sz w:val="20"/>
          <w:szCs w:val="20"/>
        </w:rPr>
        <w:t>The majority of MSW manufacturing firms fit the definition of “advanced manufacturing”</w:t>
      </w:r>
      <w:r w:rsidR="004E2B8F" w:rsidRPr="0049281D">
        <w:rPr>
          <w:rStyle w:val="EndnoteReference"/>
          <w:sz w:val="20"/>
          <w:szCs w:val="20"/>
        </w:rPr>
        <w:endnoteReference w:id="36"/>
      </w:r>
    </w:p>
    <w:p w:rsidR="0049281D" w:rsidRPr="0049281D" w:rsidRDefault="0049281D" w:rsidP="0049281D"/>
    <w:tbl>
      <w:tblPr>
        <w:tblW w:w="6049" w:type="dxa"/>
        <w:jc w:val="center"/>
        <w:tblInd w:w="16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DB3E2" w:themeFill="text2" w:themeFillTint="66"/>
        <w:tblLook w:val="04A0"/>
      </w:tblPr>
      <w:tblGrid>
        <w:gridCol w:w="6049"/>
      </w:tblGrid>
      <w:tr w:rsidR="00692F01" w:rsidRPr="00E21A11" w:rsidTr="0049281D">
        <w:trPr>
          <w:trHeight w:val="86"/>
          <w:jc w:val="center"/>
        </w:trPr>
        <w:tc>
          <w:tcPr>
            <w:tcW w:w="6049" w:type="dxa"/>
            <w:tcBorders>
              <w:bottom w:val="single" w:sz="12" w:space="0" w:color="auto"/>
            </w:tcBorders>
            <w:shd w:val="clear" w:color="auto" w:fill="8DB3E2" w:themeFill="text2" w:themeFillTint="66"/>
            <w:noWrap/>
            <w:vAlign w:val="center"/>
            <w:hideMark/>
          </w:tcPr>
          <w:p w:rsidR="00692F01" w:rsidRPr="00E21A11" w:rsidRDefault="00692F01" w:rsidP="00DA26D0">
            <w:pPr>
              <w:pStyle w:val="Title"/>
            </w:pPr>
            <w:r w:rsidRPr="00E21A11">
              <w:t>Advanced Manufacturing</w:t>
            </w:r>
          </w:p>
        </w:tc>
      </w:tr>
      <w:tr w:rsidR="00692F01" w:rsidRPr="00E21A11" w:rsidTr="0049281D">
        <w:trPr>
          <w:trHeight w:val="86"/>
          <w:jc w:val="center"/>
        </w:trPr>
        <w:tc>
          <w:tcPr>
            <w:tcW w:w="6049" w:type="dxa"/>
            <w:tcBorders>
              <w:top w:val="single" w:sz="12" w:space="0" w:color="auto"/>
              <w:bottom w:val="single" w:sz="8" w:space="0" w:color="auto"/>
            </w:tcBorders>
            <w:shd w:val="clear" w:color="auto" w:fill="FFFFFF" w:themeFill="background1"/>
            <w:noWrap/>
            <w:vAlign w:val="center"/>
            <w:hideMark/>
          </w:tcPr>
          <w:p w:rsidR="00692F01" w:rsidRPr="00E21A11" w:rsidRDefault="00692F01" w:rsidP="00795431">
            <w:pPr>
              <w:pStyle w:val="TableBody"/>
              <w:jc w:val="left"/>
            </w:pPr>
            <w:r w:rsidRPr="00E21A11">
              <w:t>Innovate, turning raw materials into complex products</w:t>
            </w:r>
          </w:p>
        </w:tc>
      </w:tr>
      <w:tr w:rsidR="00692F01" w:rsidRPr="00E21A11" w:rsidTr="0049281D">
        <w:trPr>
          <w:trHeight w:val="86"/>
          <w:jc w:val="center"/>
        </w:trPr>
        <w:tc>
          <w:tcPr>
            <w:tcW w:w="6049" w:type="dxa"/>
            <w:shd w:val="clear" w:color="auto" w:fill="DBE5F1" w:themeFill="accent1" w:themeFillTint="33"/>
            <w:noWrap/>
            <w:vAlign w:val="center"/>
            <w:hideMark/>
          </w:tcPr>
          <w:p w:rsidR="00692F01" w:rsidRPr="00E21A11" w:rsidRDefault="00692F01" w:rsidP="00795431">
            <w:pPr>
              <w:pStyle w:val="TableBody"/>
              <w:jc w:val="left"/>
            </w:pPr>
            <w:r w:rsidRPr="00E21A11">
              <w:t>Compete with high standards, not low wages, in design, production, delivery and product life cycle management</w:t>
            </w:r>
          </w:p>
        </w:tc>
      </w:tr>
      <w:tr w:rsidR="00692F01" w:rsidRPr="00E21A11" w:rsidTr="0049281D">
        <w:trPr>
          <w:trHeight w:val="86"/>
          <w:jc w:val="center"/>
        </w:trPr>
        <w:tc>
          <w:tcPr>
            <w:tcW w:w="6049" w:type="dxa"/>
            <w:tcBorders>
              <w:bottom w:val="single" w:sz="8" w:space="0" w:color="auto"/>
            </w:tcBorders>
            <w:shd w:val="clear" w:color="auto" w:fill="FFFFFF" w:themeFill="background1"/>
            <w:noWrap/>
            <w:vAlign w:val="center"/>
            <w:hideMark/>
          </w:tcPr>
          <w:p w:rsidR="00692F01" w:rsidRPr="00E21A11" w:rsidRDefault="00692F01" w:rsidP="00795431">
            <w:pPr>
              <w:pStyle w:val="TableBody"/>
              <w:jc w:val="left"/>
            </w:pPr>
            <w:r w:rsidRPr="00E21A11">
              <w:t>Pay well for a highly skilled workforce</w:t>
            </w:r>
          </w:p>
        </w:tc>
      </w:tr>
      <w:tr w:rsidR="00692F01" w:rsidRPr="00E21A11" w:rsidTr="0049281D">
        <w:trPr>
          <w:trHeight w:val="86"/>
          <w:jc w:val="center"/>
        </w:trPr>
        <w:tc>
          <w:tcPr>
            <w:tcW w:w="6049" w:type="dxa"/>
            <w:shd w:val="clear" w:color="auto" w:fill="DBE5F1" w:themeFill="accent1" w:themeFillTint="33"/>
            <w:noWrap/>
            <w:vAlign w:val="center"/>
            <w:hideMark/>
          </w:tcPr>
          <w:p w:rsidR="00692F01" w:rsidRPr="00E21A11" w:rsidRDefault="00692F01" w:rsidP="00795431">
            <w:pPr>
              <w:pStyle w:val="TableBody"/>
              <w:jc w:val="left"/>
            </w:pPr>
            <w:r w:rsidRPr="00E21A11">
              <w:t>Participate in a network of scientists, researchers, precision machinists, engineers, financiers, business developers and entrepreneurs</w:t>
            </w:r>
          </w:p>
        </w:tc>
      </w:tr>
      <w:tr w:rsidR="00692F01" w:rsidRPr="00E21A11" w:rsidTr="0049281D">
        <w:trPr>
          <w:trHeight w:val="90"/>
          <w:jc w:val="center"/>
        </w:trPr>
        <w:tc>
          <w:tcPr>
            <w:tcW w:w="6049" w:type="dxa"/>
            <w:shd w:val="clear" w:color="auto" w:fill="FFFFFF" w:themeFill="background1"/>
            <w:noWrap/>
            <w:vAlign w:val="center"/>
            <w:hideMark/>
          </w:tcPr>
          <w:p w:rsidR="00692F01" w:rsidRPr="00E21A11" w:rsidRDefault="00692F01" w:rsidP="004E2B8F">
            <w:pPr>
              <w:pStyle w:val="TableBody"/>
              <w:jc w:val="left"/>
            </w:pPr>
            <w:r w:rsidRPr="00E21A11">
              <w:t>Believe that the network is the strength of innovation and problem solving</w:t>
            </w:r>
          </w:p>
        </w:tc>
      </w:tr>
    </w:tbl>
    <w:p w:rsidR="00975F7D" w:rsidRDefault="00975F7D" w:rsidP="00616CB1">
      <w:pPr>
        <w:spacing w:before="120"/>
        <w:rPr>
          <w:sz w:val="4"/>
          <w:szCs w:val="18"/>
        </w:rPr>
      </w:pPr>
    </w:p>
    <w:p w:rsidR="00DB09D8" w:rsidRPr="00975F7D" w:rsidRDefault="00DB09D8" w:rsidP="00616CB1">
      <w:pPr>
        <w:spacing w:before="120"/>
        <w:rPr>
          <w:sz w:val="18"/>
          <w:szCs w:val="18"/>
        </w:rPr>
      </w:pPr>
      <w:r w:rsidRPr="00975F7D">
        <w:rPr>
          <w:sz w:val="18"/>
          <w:szCs w:val="18"/>
        </w:rPr>
        <w:t>Three of the top</w:t>
      </w:r>
      <w:r w:rsidR="0006097F" w:rsidRPr="00975F7D">
        <w:rPr>
          <w:sz w:val="18"/>
          <w:szCs w:val="18"/>
        </w:rPr>
        <w:t xml:space="preserve"> manufacturing</w:t>
      </w:r>
      <w:r w:rsidRPr="00975F7D">
        <w:rPr>
          <w:sz w:val="18"/>
          <w:szCs w:val="18"/>
        </w:rPr>
        <w:t xml:space="preserve"> industries in MSW, computers, electronics</w:t>
      </w:r>
      <w:r w:rsidR="00A63D1C" w:rsidRPr="00975F7D">
        <w:rPr>
          <w:sz w:val="18"/>
          <w:szCs w:val="18"/>
        </w:rPr>
        <w:t xml:space="preserve"> and pharmaceuticals</w:t>
      </w:r>
      <w:r w:rsidRPr="00975F7D">
        <w:rPr>
          <w:sz w:val="18"/>
          <w:szCs w:val="18"/>
        </w:rPr>
        <w:t xml:space="preserve"> are classified as </w:t>
      </w:r>
      <w:r w:rsidR="00A63D1C" w:rsidRPr="00975F7D">
        <w:rPr>
          <w:sz w:val="18"/>
          <w:szCs w:val="18"/>
        </w:rPr>
        <w:t>“</w:t>
      </w:r>
      <w:r w:rsidRPr="00975F7D">
        <w:rPr>
          <w:sz w:val="18"/>
          <w:szCs w:val="18"/>
        </w:rPr>
        <w:t>high tech</w:t>
      </w:r>
      <w:r w:rsidR="00A63D1C" w:rsidRPr="00975F7D">
        <w:rPr>
          <w:sz w:val="18"/>
          <w:szCs w:val="18"/>
        </w:rPr>
        <w:t>” by the Organization for Economic Cooperation and Development.</w:t>
      </w:r>
      <w:r w:rsidR="00004CFE" w:rsidRPr="00975F7D">
        <w:rPr>
          <w:sz w:val="18"/>
          <w:szCs w:val="18"/>
        </w:rPr>
        <w:t xml:space="preserve"> </w:t>
      </w:r>
      <w:r w:rsidR="00A63D1C" w:rsidRPr="00975F7D">
        <w:rPr>
          <w:sz w:val="18"/>
          <w:szCs w:val="18"/>
        </w:rPr>
        <w:t>(The clas</w:t>
      </w:r>
      <w:r w:rsidR="00A55CF9" w:rsidRPr="00975F7D">
        <w:rPr>
          <w:sz w:val="18"/>
          <w:szCs w:val="18"/>
        </w:rPr>
        <w:softHyphen/>
      </w:r>
      <w:r w:rsidR="00A63D1C" w:rsidRPr="00975F7D">
        <w:rPr>
          <w:sz w:val="18"/>
          <w:szCs w:val="18"/>
        </w:rPr>
        <w:t>sification is</w:t>
      </w:r>
      <w:r w:rsidRPr="00975F7D">
        <w:rPr>
          <w:sz w:val="18"/>
          <w:szCs w:val="18"/>
        </w:rPr>
        <w:t xml:space="preserve"> </w:t>
      </w:r>
      <w:r w:rsidR="00A63D1C" w:rsidRPr="00975F7D">
        <w:rPr>
          <w:sz w:val="18"/>
          <w:szCs w:val="18"/>
        </w:rPr>
        <w:t xml:space="preserve">based on </w:t>
      </w:r>
      <w:r w:rsidRPr="00975F7D">
        <w:rPr>
          <w:sz w:val="18"/>
          <w:szCs w:val="18"/>
        </w:rPr>
        <w:t>the products produced</w:t>
      </w:r>
      <w:r w:rsidRPr="00975F7D">
        <w:rPr>
          <w:rStyle w:val="EndnoteReference"/>
          <w:sz w:val="18"/>
          <w:szCs w:val="18"/>
        </w:rPr>
        <w:t xml:space="preserve"> </w:t>
      </w:r>
      <w:r w:rsidR="00A63D1C" w:rsidRPr="00975F7D">
        <w:rPr>
          <w:sz w:val="18"/>
          <w:szCs w:val="18"/>
        </w:rPr>
        <w:t>.)</w:t>
      </w:r>
      <w:r w:rsidRPr="00975F7D">
        <w:rPr>
          <w:rStyle w:val="EndnoteReference"/>
          <w:sz w:val="18"/>
          <w:szCs w:val="18"/>
        </w:rPr>
        <w:endnoteReference w:id="37"/>
      </w:r>
    </w:p>
    <w:p w:rsidR="0049281D" w:rsidRDefault="0049281D" w:rsidP="00A63D1C">
      <w:pPr>
        <w:pStyle w:val="NoSpacing"/>
        <w:rPr>
          <w:sz w:val="8"/>
        </w:rPr>
      </w:pPr>
      <w:r>
        <w:tab/>
      </w:r>
    </w:p>
    <w:p w:rsidR="009E0A2A" w:rsidRPr="009E0A2A" w:rsidRDefault="009E0A2A" w:rsidP="00A63D1C">
      <w:pPr>
        <w:pStyle w:val="NoSpacing"/>
        <w:rPr>
          <w:sz w:val="8"/>
        </w:rPr>
      </w:pPr>
    </w:p>
    <w:p w:rsidR="00A63D1C" w:rsidRDefault="0049281D" w:rsidP="00A63D1C">
      <w:pPr>
        <w:pStyle w:val="NoSpacing"/>
      </w:pPr>
      <w:r>
        <w:tab/>
      </w:r>
      <w:r>
        <w:tab/>
      </w:r>
      <w:r w:rsidR="00692F01">
        <w:rPr>
          <w:noProof/>
        </w:rPr>
        <w:drawing>
          <wp:inline distT="0" distB="0" distL="0" distR="0">
            <wp:extent cx="4218346" cy="1781299"/>
            <wp:effectExtent l="19050" t="0" r="10754" b="9401"/>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0348" w:rsidRDefault="00A60348" w:rsidP="00FE35BF">
      <w:pPr>
        <w:pStyle w:val="Heading2"/>
        <w:rPr>
          <w:sz w:val="2"/>
          <w:szCs w:val="20"/>
        </w:rPr>
      </w:pPr>
      <w:r w:rsidRPr="000537E0">
        <w:rPr>
          <w:sz w:val="20"/>
          <w:szCs w:val="20"/>
        </w:rPr>
        <w:t>Manufacturing accounts for almost one in ten jobs in MSW</w:t>
      </w:r>
      <w:r w:rsidRPr="000537E0">
        <w:rPr>
          <w:rStyle w:val="EndnoteReference"/>
          <w:sz w:val="20"/>
          <w:szCs w:val="20"/>
        </w:rPr>
        <w:endnoteReference w:id="38"/>
      </w:r>
      <w:r w:rsidR="00DB09D8" w:rsidRPr="000537E0">
        <w:rPr>
          <w:sz w:val="20"/>
          <w:szCs w:val="20"/>
        </w:rPr>
        <w:t xml:space="preserve"> </w:t>
      </w:r>
    </w:p>
    <w:p w:rsidR="000537E0" w:rsidRPr="000537E0" w:rsidRDefault="000537E0" w:rsidP="000537E0">
      <w:pPr>
        <w:rPr>
          <w:sz w:val="2"/>
        </w:rPr>
      </w:pPr>
    </w:p>
    <w:p w:rsidR="00F702CD" w:rsidRPr="000537E0" w:rsidRDefault="00F702CD" w:rsidP="007845CB">
      <w:pPr>
        <w:rPr>
          <w:sz w:val="18"/>
          <w:szCs w:val="18"/>
        </w:rPr>
        <w:sectPr w:rsidR="00F702CD" w:rsidRPr="000537E0" w:rsidSect="00F76A48">
          <w:footnotePr>
            <w:numFmt w:val="lowerRoman"/>
          </w:footnotePr>
          <w:endnotePr>
            <w:numFmt w:val="decimal"/>
          </w:endnotePr>
          <w:type w:val="continuous"/>
          <w:pgSz w:w="12240" w:h="15840"/>
          <w:pgMar w:top="1440" w:right="1440" w:bottom="1440" w:left="1440" w:header="720" w:footer="720" w:gutter="0"/>
          <w:cols w:space="720"/>
          <w:docGrid w:linePitch="360"/>
        </w:sectPr>
      </w:pPr>
    </w:p>
    <w:p w:rsidR="00DB09D8" w:rsidRPr="000537E0" w:rsidRDefault="00A60348" w:rsidP="007845CB">
      <w:pPr>
        <w:rPr>
          <w:sz w:val="18"/>
          <w:szCs w:val="18"/>
        </w:rPr>
      </w:pPr>
      <w:r w:rsidRPr="000537E0">
        <w:rPr>
          <w:sz w:val="18"/>
          <w:szCs w:val="18"/>
        </w:rPr>
        <w:lastRenderedPageBreak/>
        <w:t>MSW m</w:t>
      </w:r>
      <w:r w:rsidR="00DB09D8" w:rsidRPr="000537E0">
        <w:rPr>
          <w:sz w:val="18"/>
          <w:szCs w:val="18"/>
        </w:rPr>
        <w:t xml:space="preserve">anufacturing </w:t>
      </w:r>
      <w:r w:rsidRPr="000537E0">
        <w:rPr>
          <w:sz w:val="18"/>
          <w:szCs w:val="18"/>
        </w:rPr>
        <w:t>firms employed 5</w:t>
      </w:r>
      <w:r w:rsidR="007E3009" w:rsidRPr="000537E0">
        <w:rPr>
          <w:sz w:val="18"/>
          <w:szCs w:val="18"/>
        </w:rPr>
        <w:t xml:space="preserve">1,929 </w:t>
      </w:r>
      <w:r w:rsidRPr="000537E0">
        <w:rPr>
          <w:sz w:val="18"/>
          <w:szCs w:val="18"/>
        </w:rPr>
        <w:t xml:space="preserve">workers </w:t>
      </w:r>
      <w:r w:rsidR="00DB09D8" w:rsidRPr="000537E0">
        <w:rPr>
          <w:sz w:val="18"/>
          <w:szCs w:val="18"/>
        </w:rPr>
        <w:t xml:space="preserve">in </w:t>
      </w:r>
      <w:r w:rsidRPr="000537E0">
        <w:rPr>
          <w:sz w:val="18"/>
          <w:szCs w:val="18"/>
        </w:rPr>
        <w:t xml:space="preserve">the </w:t>
      </w:r>
      <w:r w:rsidR="007E3009" w:rsidRPr="000537E0">
        <w:rPr>
          <w:sz w:val="18"/>
          <w:szCs w:val="18"/>
        </w:rPr>
        <w:t xml:space="preserve">second </w:t>
      </w:r>
      <w:r w:rsidRPr="000537E0">
        <w:rPr>
          <w:sz w:val="18"/>
          <w:szCs w:val="18"/>
        </w:rPr>
        <w:t>quarter of 201</w:t>
      </w:r>
      <w:r w:rsidR="007E3009" w:rsidRPr="000537E0">
        <w:rPr>
          <w:sz w:val="18"/>
          <w:szCs w:val="18"/>
        </w:rPr>
        <w:t>3</w:t>
      </w:r>
      <w:r w:rsidRPr="000537E0">
        <w:rPr>
          <w:sz w:val="18"/>
          <w:szCs w:val="18"/>
        </w:rPr>
        <w:t>, down from 55,564 in the first quarter of 2008.</w:t>
      </w:r>
      <w:r w:rsidR="00DB09D8" w:rsidRPr="000537E0">
        <w:rPr>
          <w:rStyle w:val="EndnoteReference"/>
          <w:sz w:val="18"/>
          <w:szCs w:val="18"/>
        </w:rPr>
        <w:endnoteReference w:id="39"/>
      </w:r>
      <w:r w:rsidR="00DB09D8" w:rsidRPr="000537E0">
        <w:rPr>
          <w:sz w:val="18"/>
          <w:szCs w:val="18"/>
        </w:rPr>
        <w:t xml:space="preserve"> </w:t>
      </w:r>
    </w:p>
    <w:p w:rsidR="00750F9C" w:rsidRPr="000537E0" w:rsidRDefault="00DB09D8" w:rsidP="007845CB">
      <w:pPr>
        <w:rPr>
          <w:sz w:val="18"/>
          <w:szCs w:val="18"/>
        </w:rPr>
      </w:pPr>
      <w:r w:rsidRPr="000537E0">
        <w:rPr>
          <w:sz w:val="18"/>
          <w:szCs w:val="18"/>
        </w:rPr>
        <w:t xml:space="preserve">67% of the almost 700 employers surveyed across the state in </w:t>
      </w:r>
      <w:r w:rsidR="00A60348" w:rsidRPr="000537E0">
        <w:rPr>
          <w:sz w:val="18"/>
          <w:szCs w:val="18"/>
        </w:rPr>
        <w:t>2011</w:t>
      </w:r>
      <w:r w:rsidRPr="000537E0">
        <w:rPr>
          <w:sz w:val="18"/>
          <w:szCs w:val="18"/>
        </w:rPr>
        <w:t xml:space="preserve"> reported moderate or severe shortages</w:t>
      </w:r>
      <w:r w:rsidR="00A60348" w:rsidRPr="000537E0">
        <w:rPr>
          <w:sz w:val="18"/>
          <w:szCs w:val="18"/>
        </w:rPr>
        <w:t xml:space="preserve"> in skilled production (machinists, craft workers and technicians</w:t>
      </w:r>
      <w:r w:rsidR="00667026" w:rsidRPr="000537E0">
        <w:rPr>
          <w:sz w:val="18"/>
          <w:szCs w:val="18"/>
        </w:rPr>
        <w:t>)</w:t>
      </w:r>
      <w:r w:rsidR="00A60348" w:rsidRPr="000537E0">
        <w:rPr>
          <w:sz w:val="18"/>
          <w:szCs w:val="18"/>
        </w:rPr>
        <w:t xml:space="preserve">. Only </w:t>
      </w:r>
      <w:r w:rsidRPr="000537E0">
        <w:rPr>
          <w:sz w:val="18"/>
          <w:szCs w:val="18"/>
        </w:rPr>
        <w:t>8% reported diffi</w:t>
      </w:r>
      <w:r w:rsidR="00A55CF9" w:rsidRPr="000537E0">
        <w:rPr>
          <w:sz w:val="18"/>
          <w:szCs w:val="18"/>
        </w:rPr>
        <w:softHyphen/>
      </w:r>
      <w:r w:rsidRPr="000537E0">
        <w:rPr>
          <w:sz w:val="18"/>
          <w:szCs w:val="18"/>
        </w:rPr>
        <w:t>culty filling entry-level jobs, down from 43% in 2008.</w:t>
      </w:r>
      <w:r w:rsidRPr="000537E0">
        <w:rPr>
          <w:rStyle w:val="EndnoteReference"/>
          <w:sz w:val="18"/>
          <w:szCs w:val="18"/>
        </w:rPr>
        <w:endnoteReference w:id="40"/>
      </w:r>
    </w:p>
    <w:p w:rsidR="00DB09D8" w:rsidRPr="000537E0" w:rsidRDefault="004448A2" w:rsidP="007845CB">
      <w:pPr>
        <w:rPr>
          <w:sz w:val="18"/>
          <w:szCs w:val="18"/>
        </w:rPr>
      </w:pPr>
      <w:r w:rsidRPr="000537E0">
        <w:rPr>
          <w:sz w:val="18"/>
          <w:szCs w:val="18"/>
        </w:rPr>
        <w:t xml:space="preserve">MSW firms report difficulty in filling </w:t>
      </w:r>
      <w:r w:rsidR="00DB09D8" w:rsidRPr="000537E0">
        <w:rPr>
          <w:sz w:val="18"/>
          <w:szCs w:val="18"/>
        </w:rPr>
        <w:t>R&amp;D engineer, chemist and o</w:t>
      </w:r>
      <w:r w:rsidRPr="000537E0">
        <w:rPr>
          <w:sz w:val="18"/>
          <w:szCs w:val="18"/>
        </w:rPr>
        <w:t>ther highly educated specialist jobs</w:t>
      </w:r>
      <w:r w:rsidR="00DB09D8" w:rsidRPr="000537E0">
        <w:rPr>
          <w:sz w:val="18"/>
          <w:szCs w:val="18"/>
        </w:rPr>
        <w:t>.</w:t>
      </w:r>
      <w:r w:rsidR="00DB09D8" w:rsidRPr="000537E0">
        <w:rPr>
          <w:rStyle w:val="EndnoteReference"/>
          <w:sz w:val="18"/>
          <w:szCs w:val="18"/>
        </w:rPr>
        <w:endnoteReference w:id="41"/>
      </w:r>
    </w:p>
    <w:p w:rsidR="00FB66AA" w:rsidRPr="007A3BB1" w:rsidRDefault="00810A0F" w:rsidP="007A3BB1">
      <w:pPr>
        <w:rPr>
          <w:sz w:val="18"/>
          <w:szCs w:val="18"/>
        </w:rPr>
        <w:sectPr w:rsidR="00FB66AA" w:rsidRPr="007A3BB1" w:rsidSect="00FB66AA">
          <w:footnotePr>
            <w:numFmt w:val="lowerRoman"/>
          </w:footnotePr>
          <w:endnotePr>
            <w:numFmt w:val="decimal"/>
          </w:endnotePr>
          <w:type w:val="continuous"/>
          <w:pgSz w:w="12240" w:h="15840"/>
          <w:pgMar w:top="1440" w:right="1440" w:bottom="1440" w:left="1440" w:header="720" w:footer="720" w:gutter="0"/>
          <w:cols w:space="720"/>
          <w:docGrid w:linePitch="360"/>
        </w:sectPr>
      </w:pPr>
      <w:r w:rsidRPr="000537E0">
        <w:rPr>
          <w:sz w:val="18"/>
          <w:szCs w:val="18"/>
        </w:rPr>
        <w:t>Eleven of the 25 largest medical device companies in the Commonwealth are locate</w:t>
      </w:r>
      <w:r w:rsidR="00004CFE" w:rsidRPr="000537E0">
        <w:rPr>
          <w:sz w:val="18"/>
          <w:szCs w:val="18"/>
        </w:rPr>
        <w:t>d</w:t>
      </w:r>
      <w:r w:rsidRPr="000537E0">
        <w:rPr>
          <w:sz w:val="18"/>
          <w:szCs w:val="18"/>
        </w:rPr>
        <w:t xml:space="preserve"> in MSW</w:t>
      </w:r>
      <w:r w:rsidRPr="000537E0">
        <w:rPr>
          <w:rStyle w:val="EndnoteReference"/>
          <w:sz w:val="18"/>
          <w:szCs w:val="18"/>
        </w:rPr>
        <w:endnoteReference w:id="42"/>
      </w:r>
    </w:p>
    <w:tbl>
      <w:tblPr>
        <w:tblStyle w:val="TableGrid"/>
        <w:tblW w:w="5460" w:type="dxa"/>
        <w:tblInd w:w="1824" w:type="dxa"/>
        <w:tblLook w:val="04A0"/>
      </w:tblPr>
      <w:tblGrid>
        <w:gridCol w:w="2730"/>
        <w:gridCol w:w="2730"/>
      </w:tblGrid>
      <w:tr w:rsidR="00DA26D0" w:rsidRPr="00152BDE" w:rsidTr="000537E0">
        <w:trPr>
          <w:trHeight w:val="284"/>
        </w:trPr>
        <w:tc>
          <w:tcPr>
            <w:tcW w:w="5460" w:type="dxa"/>
            <w:gridSpan w:val="2"/>
            <w:tcBorders>
              <w:bottom w:val="single" w:sz="12" w:space="0" w:color="auto"/>
            </w:tcBorders>
            <w:shd w:val="clear" w:color="auto" w:fill="8DB3E2" w:themeFill="text2" w:themeFillTint="66"/>
            <w:noWrap/>
            <w:vAlign w:val="center"/>
          </w:tcPr>
          <w:p w:rsidR="00DA26D0" w:rsidRPr="007A3BB1" w:rsidRDefault="00DA26D0" w:rsidP="00667026">
            <w:pPr>
              <w:pStyle w:val="Title"/>
              <w:rPr>
                <w:sz w:val="18"/>
              </w:rPr>
            </w:pPr>
            <w:r w:rsidRPr="007A3BB1">
              <w:rPr>
                <w:sz w:val="18"/>
              </w:rPr>
              <w:lastRenderedPageBreak/>
              <w:t>Largest Medical Device Companies In m</w:t>
            </w:r>
            <w:r w:rsidR="00667026" w:rsidRPr="007A3BB1">
              <w:rPr>
                <w:sz w:val="18"/>
              </w:rPr>
              <w:t>sw</w:t>
            </w:r>
          </w:p>
        </w:tc>
      </w:tr>
      <w:tr w:rsidR="00F76A48" w:rsidRPr="00152BDE" w:rsidTr="000537E0">
        <w:trPr>
          <w:trHeight w:val="261"/>
        </w:trPr>
        <w:tc>
          <w:tcPr>
            <w:tcW w:w="2730" w:type="dxa"/>
            <w:tcBorders>
              <w:top w:val="single" w:sz="12" w:space="0" w:color="auto"/>
              <w:left w:val="single" w:sz="8" w:space="0" w:color="auto"/>
              <w:bottom w:val="single" w:sz="8" w:space="0" w:color="auto"/>
              <w:right w:val="single" w:sz="8" w:space="0" w:color="auto"/>
            </w:tcBorders>
            <w:noWrap/>
            <w:vAlign w:val="center"/>
            <w:hideMark/>
          </w:tcPr>
          <w:p w:rsidR="00F76A48" w:rsidRPr="007A3BB1" w:rsidRDefault="00F76A48" w:rsidP="00DA26D0">
            <w:pPr>
              <w:pStyle w:val="TableBody"/>
              <w:rPr>
                <w:sz w:val="18"/>
              </w:rPr>
            </w:pPr>
            <w:r w:rsidRPr="007A3BB1">
              <w:rPr>
                <w:sz w:val="18"/>
              </w:rPr>
              <w:t>Thermo Fisher Scientific</w:t>
            </w:r>
          </w:p>
        </w:tc>
        <w:tc>
          <w:tcPr>
            <w:tcW w:w="2730" w:type="dxa"/>
            <w:tcBorders>
              <w:top w:val="single" w:sz="12" w:space="0" w:color="auto"/>
              <w:left w:val="single" w:sz="8" w:space="0" w:color="auto"/>
              <w:bottom w:val="single" w:sz="8" w:space="0" w:color="auto"/>
              <w:right w:val="single" w:sz="8" w:space="0" w:color="auto"/>
            </w:tcBorders>
            <w:vAlign w:val="center"/>
          </w:tcPr>
          <w:p w:rsidR="00F76A48" w:rsidRPr="007A3BB1" w:rsidRDefault="00F76A48" w:rsidP="00DA26D0">
            <w:pPr>
              <w:pStyle w:val="TableBody"/>
              <w:rPr>
                <w:sz w:val="18"/>
              </w:rPr>
            </w:pPr>
            <w:r w:rsidRPr="007A3BB1">
              <w:rPr>
                <w:sz w:val="18"/>
              </w:rPr>
              <w:t>Nova Biomedical Corporation</w:t>
            </w:r>
          </w:p>
        </w:tc>
      </w:tr>
      <w:tr w:rsidR="00F76A48" w:rsidRPr="00152BDE" w:rsidTr="000537E0">
        <w:trPr>
          <w:trHeight w:val="236"/>
        </w:trPr>
        <w:tc>
          <w:tcPr>
            <w:tcW w:w="2730" w:type="dxa"/>
            <w:tcBorders>
              <w:top w:val="single" w:sz="8" w:space="0" w:color="auto"/>
            </w:tcBorders>
            <w:shd w:val="clear" w:color="auto" w:fill="DBE5F1" w:themeFill="accent1" w:themeFillTint="33"/>
            <w:noWrap/>
            <w:vAlign w:val="center"/>
            <w:hideMark/>
          </w:tcPr>
          <w:p w:rsidR="00F76A48" w:rsidRPr="007A3BB1" w:rsidRDefault="00F76A48" w:rsidP="00DA26D0">
            <w:pPr>
              <w:pStyle w:val="TableBody"/>
              <w:rPr>
                <w:sz w:val="18"/>
              </w:rPr>
            </w:pPr>
            <w:r w:rsidRPr="007A3BB1">
              <w:rPr>
                <w:sz w:val="18"/>
              </w:rPr>
              <w:t>Boston Scientific</w:t>
            </w:r>
          </w:p>
        </w:tc>
        <w:tc>
          <w:tcPr>
            <w:tcW w:w="2730" w:type="dxa"/>
            <w:tcBorders>
              <w:top w:val="single" w:sz="8" w:space="0" w:color="auto"/>
            </w:tcBorders>
            <w:shd w:val="clear" w:color="auto" w:fill="DBE5F1" w:themeFill="accent1" w:themeFillTint="33"/>
            <w:vAlign w:val="center"/>
          </w:tcPr>
          <w:p w:rsidR="00F76A48" w:rsidRPr="007A3BB1" w:rsidRDefault="00F76A48" w:rsidP="00DA26D0">
            <w:pPr>
              <w:pStyle w:val="TableBody"/>
              <w:rPr>
                <w:sz w:val="18"/>
              </w:rPr>
            </w:pPr>
            <w:proofErr w:type="spellStart"/>
            <w:r w:rsidRPr="007A3BB1">
              <w:rPr>
                <w:sz w:val="18"/>
              </w:rPr>
              <w:t>HartWare</w:t>
            </w:r>
            <w:proofErr w:type="spellEnd"/>
            <w:r w:rsidRPr="007A3BB1">
              <w:rPr>
                <w:sz w:val="18"/>
              </w:rPr>
              <w:t xml:space="preserve"> International</w:t>
            </w:r>
          </w:p>
        </w:tc>
      </w:tr>
      <w:tr w:rsidR="00F76A48" w:rsidRPr="00152BDE" w:rsidTr="000537E0">
        <w:trPr>
          <w:trHeight w:val="160"/>
        </w:trPr>
        <w:tc>
          <w:tcPr>
            <w:tcW w:w="2730" w:type="dxa"/>
            <w:tcBorders>
              <w:bottom w:val="single" w:sz="4" w:space="0" w:color="auto"/>
            </w:tcBorders>
            <w:noWrap/>
            <w:vAlign w:val="center"/>
            <w:hideMark/>
          </w:tcPr>
          <w:p w:rsidR="00F76A48" w:rsidRPr="007A3BB1" w:rsidRDefault="00F76A48" w:rsidP="00DA26D0">
            <w:pPr>
              <w:pStyle w:val="TableBody"/>
              <w:rPr>
                <w:sz w:val="18"/>
              </w:rPr>
            </w:pPr>
            <w:proofErr w:type="spellStart"/>
            <w:r w:rsidRPr="007A3BB1">
              <w:rPr>
                <w:sz w:val="18"/>
              </w:rPr>
              <w:t>Alere</w:t>
            </w:r>
            <w:proofErr w:type="spellEnd"/>
            <w:r w:rsidRPr="007A3BB1">
              <w:rPr>
                <w:sz w:val="18"/>
              </w:rPr>
              <w:t>, Inc.</w:t>
            </w:r>
          </w:p>
        </w:tc>
        <w:tc>
          <w:tcPr>
            <w:tcW w:w="2730" w:type="dxa"/>
            <w:tcBorders>
              <w:bottom w:val="single" w:sz="4" w:space="0" w:color="auto"/>
            </w:tcBorders>
            <w:vAlign w:val="center"/>
          </w:tcPr>
          <w:p w:rsidR="00F76A48" w:rsidRPr="007A3BB1" w:rsidRDefault="00F76A48" w:rsidP="00DA26D0">
            <w:pPr>
              <w:pStyle w:val="TableBody"/>
              <w:rPr>
                <w:sz w:val="18"/>
              </w:rPr>
            </w:pPr>
            <w:proofErr w:type="spellStart"/>
            <w:r w:rsidRPr="007A3BB1">
              <w:rPr>
                <w:sz w:val="18"/>
              </w:rPr>
              <w:t>Tegra</w:t>
            </w:r>
            <w:proofErr w:type="spellEnd"/>
            <w:r w:rsidRPr="007A3BB1">
              <w:rPr>
                <w:sz w:val="18"/>
              </w:rPr>
              <w:t xml:space="preserve"> Medical</w:t>
            </w:r>
          </w:p>
        </w:tc>
      </w:tr>
      <w:tr w:rsidR="00F76A48" w:rsidRPr="00152BDE" w:rsidTr="000537E0">
        <w:trPr>
          <w:trHeight w:val="236"/>
        </w:trPr>
        <w:tc>
          <w:tcPr>
            <w:tcW w:w="2730" w:type="dxa"/>
            <w:shd w:val="clear" w:color="auto" w:fill="DBE5F1" w:themeFill="accent1" w:themeFillTint="33"/>
            <w:noWrap/>
            <w:vAlign w:val="center"/>
            <w:hideMark/>
          </w:tcPr>
          <w:p w:rsidR="00F76A48" w:rsidRPr="007A3BB1" w:rsidRDefault="00F76A48" w:rsidP="00DA26D0">
            <w:pPr>
              <w:pStyle w:val="TableBody"/>
              <w:rPr>
                <w:sz w:val="18"/>
              </w:rPr>
            </w:pPr>
            <w:r w:rsidRPr="007A3BB1">
              <w:rPr>
                <w:sz w:val="18"/>
              </w:rPr>
              <w:t>PerkinElmer</w:t>
            </w:r>
          </w:p>
        </w:tc>
        <w:tc>
          <w:tcPr>
            <w:tcW w:w="2730" w:type="dxa"/>
            <w:shd w:val="clear" w:color="auto" w:fill="DBE5F1" w:themeFill="accent1" w:themeFillTint="33"/>
            <w:vAlign w:val="center"/>
          </w:tcPr>
          <w:p w:rsidR="00F76A48" w:rsidRPr="007A3BB1" w:rsidRDefault="00F76A48" w:rsidP="00DA26D0">
            <w:pPr>
              <w:pStyle w:val="TableBody"/>
              <w:rPr>
                <w:sz w:val="18"/>
              </w:rPr>
            </w:pPr>
            <w:proofErr w:type="spellStart"/>
            <w:r w:rsidRPr="007A3BB1">
              <w:rPr>
                <w:sz w:val="18"/>
              </w:rPr>
              <w:t>Tanika</w:t>
            </w:r>
            <w:proofErr w:type="spellEnd"/>
            <w:r w:rsidRPr="007A3BB1">
              <w:rPr>
                <w:sz w:val="18"/>
              </w:rPr>
              <w:t xml:space="preserve"> Therapeutics, Inc.</w:t>
            </w:r>
          </w:p>
        </w:tc>
      </w:tr>
      <w:tr w:rsidR="00F76A48" w:rsidRPr="00152BDE" w:rsidTr="000537E0">
        <w:trPr>
          <w:trHeight w:val="264"/>
        </w:trPr>
        <w:tc>
          <w:tcPr>
            <w:tcW w:w="2730" w:type="dxa"/>
            <w:tcBorders>
              <w:bottom w:val="single" w:sz="4" w:space="0" w:color="auto"/>
            </w:tcBorders>
            <w:noWrap/>
            <w:vAlign w:val="center"/>
            <w:hideMark/>
          </w:tcPr>
          <w:p w:rsidR="00F76A48" w:rsidRPr="007A3BB1" w:rsidRDefault="00F76A48" w:rsidP="00DA26D0">
            <w:pPr>
              <w:pStyle w:val="TableBody"/>
              <w:rPr>
                <w:sz w:val="18"/>
              </w:rPr>
            </w:pPr>
            <w:proofErr w:type="spellStart"/>
            <w:r w:rsidRPr="007A3BB1">
              <w:rPr>
                <w:sz w:val="18"/>
              </w:rPr>
              <w:t>Hologic</w:t>
            </w:r>
            <w:proofErr w:type="spellEnd"/>
            <w:r w:rsidRPr="007A3BB1">
              <w:rPr>
                <w:sz w:val="18"/>
              </w:rPr>
              <w:t>, Inc.</w:t>
            </w:r>
          </w:p>
        </w:tc>
        <w:tc>
          <w:tcPr>
            <w:tcW w:w="2730" w:type="dxa"/>
            <w:tcBorders>
              <w:bottom w:val="single" w:sz="4" w:space="0" w:color="auto"/>
            </w:tcBorders>
            <w:vAlign w:val="center"/>
          </w:tcPr>
          <w:p w:rsidR="00F76A48" w:rsidRPr="007A3BB1" w:rsidRDefault="00F76A48" w:rsidP="00DA26D0">
            <w:pPr>
              <w:pStyle w:val="TableBody"/>
              <w:rPr>
                <w:sz w:val="18"/>
              </w:rPr>
            </w:pPr>
            <w:r w:rsidRPr="007A3BB1">
              <w:rPr>
                <w:sz w:val="18"/>
              </w:rPr>
              <w:t>TEI Biosciences, Inc.</w:t>
            </w:r>
          </w:p>
        </w:tc>
      </w:tr>
      <w:tr w:rsidR="00F76A48" w:rsidRPr="00152BDE" w:rsidTr="000537E0">
        <w:trPr>
          <w:trHeight w:val="255"/>
        </w:trPr>
        <w:tc>
          <w:tcPr>
            <w:tcW w:w="2730" w:type="dxa"/>
            <w:shd w:val="clear" w:color="auto" w:fill="DBE5F1" w:themeFill="accent1" w:themeFillTint="33"/>
            <w:noWrap/>
            <w:vAlign w:val="center"/>
            <w:hideMark/>
          </w:tcPr>
          <w:p w:rsidR="00F76A48" w:rsidRPr="007A3BB1" w:rsidRDefault="00F76A48" w:rsidP="00DA26D0">
            <w:pPr>
              <w:pStyle w:val="TableBody"/>
              <w:rPr>
                <w:sz w:val="18"/>
              </w:rPr>
            </w:pPr>
            <w:proofErr w:type="spellStart"/>
            <w:r w:rsidRPr="007A3BB1">
              <w:rPr>
                <w:sz w:val="18"/>
              </w:rPr>
              <w:t>Insulet</w:t>
            </w:r>
            <w:proofErr w:type="spellEnd"/>
            <w:r w:rsidRPr="007A3BB1">
              <w:rPr>
                <w:sz w:val="18"/>
              </w:rPr>
              <w:t xml:space="preserve"> Corporation</w:t>
            </w:r>
          </w:p>
        </w:tc>
        <w:tc>
          <w:tcPr>
            <w:tcW w:w="2730" w:type="dxa"/>
            <w:shd w:val="clear" w:color="auto" w:fill="DBE5F1" w:themeFill="accent1" w:themeFillTint="33"/>
            <w:vAlign w:val="center"/>
          </w:tcPr>
          <w:p w:rsidR="00F76A48" w:rsidRPr="007A3BB1" w:rsidRDefault="00F76A48" w:rsidP="00DA26D0">
            <w:pPr>
              <w:pStyle w:val="TableBody"/>
              <w:rPr>
                <w:sz w:val="18"/>
              </w:rPr>
            </w:pPr>
          </w:p>
        </w:tc>
      </w:tr>
    </w:tbl>
    <w:p w:rsidR="009E0A2A" w:rsidRPr="00D46FB3" w:rsidRDefault="004448A2" w:rsidP="00D46FB3">
      <w:pPr>
        <w:pStyle w:val="Heading2"/>
        <w:rPr>
          <w:sz w:val="8"/>
        </w:rPr>
      </w:pPr>
      <w:r w:rsidRPr="000537E0">
        <w:rPr>
          <w:sz w:val="18"/>
        </w:rPr>
        <w:lastRenderedPageBreak/>
        <w:t xml:space="preserve">Manufacturing firms in MSW hire a greater proportion of professional and technical workers than </w:t>
      </w:r>
      <w:r w:rsidR="00092376" w:rsidRPr="000537E0">
        <w:rPr>
          <w:sz w:val="18"/>
        </w:rPr>
        <w:t xml:space="preserve">manufacturing </w:t>
      </w:r>
      <w:r w:rsidRPr="000537E0">
        <w:rPr>
          <w:sz w:val="18"/>
        </w:rPr>
        <w:t>firms in other regions of Massachusetts</w:t>
      </w:r>
      <w:r w:rsidR="00DB09D8" w:rsidRPr="000537E0">
        <w:rPr>
          <w:rStyle w:val="EndnoteReference"/>
          <w:sz w:val="18"/>
        </w:rPr>
        <w:endnoteReference w:id="43"/>
      </w:r>
    </w:p>
    <w:p w:rsidR="009E0A2A" w:rsidRDefault="009E0A2A" w:rsidP="000537E0">
      <w:pPr>
        <w:rPr>
          <w:sz w:val="2"/>
        </w:rPr>
      </w:pPr>
    </w:p>
    <w:p w:rsidR="00C579FA" w:rsidRDefault="009E0A2A" w:rsidP="00C579FA">
      <w:pPr>
        <w:jc w:val="center"/>
        <w:rPr>
          <w:szCs w:val="20"/>
        </w:rPr>
      </w:pPr>
      <w:r>
        <w:rPr>
          <w:noProof/>
          <w:sz w:val="2"/>
        </w:rPr>
        <w:drawing>
          <wp:inline distT="0" distB="0" distL="0" distR="0">
            <wp:extent cx="4519511" cy="3238500"/>
            <wp:effectExtent l="19050" t="0" r="0" b="0"/>
            <wp:docPr id="12" name="Picture 7" descr="ch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jpg"/>
                    <pic:cNvPicPr/>
                  </pic:nvPicPr>
                  <pic:blipFill>
                    <a:blip r:embed="rId16" cstate="print"/>
                    <a:stretch>
                      <a:fillRect/>
                    </a:stretch>
                  </pic:blipFill>
                  <pic:spPr>
                    <a:xfrm>
                      <a:off x="0" y="0"/>
                      <a:ext cx="4531799" cy="3247305"/>
                    </a:xfrm>
                    <a:prstGeom prst="rect">
                      <a:avLst/>
                    </a:prstGeom>
                  </pic:spPr>
                </pic:pic>
              </a:graphicData>
            </a:graphic>
          </wp:inline>
        </w:drawing>
      </w:r>
    </w:p>
    <w:p w:rsidR="00AF5B79" w:rsidRPr="00C579FA" w:rsidRDefault="004448A2" w:rsidP="00C579FA">
      <w:pPr>
        <w:rPr>
          <w:b/>
          <w:i/>
          <w:sz w:val="2"/>
        </w:rPr>
      </w:pPr>
      <w:r w:rsidRPr="00C579FA">
        <w:rPr>
          <w:b/>
          <w:i/>
          <w:szCs w:val="20"/>
        </w:rPr>
        <w:t>Manufa</w:t>
      </w:r>
      <w:r w:rsidR="00667026" w:rsidRPr="00C579FA">
        <w:rPr>
          <w:b/>
          <w:i/>
          <w:szCs w:val="20"/>
        </w:rPr>
        <w:t xml:space="preserve">cturing workers in MSW are well </w:t>
      </w:r>
      <w:r w:rsidRPr="00C579FA">
        <w:rPr>
          <w:b/>
          <w:i/>
          <w:szCs w:val="20"/>
        </w:rPr>
        <w:t>paid</w:t>
      </w:r>
    </w:p>
    <w:p w:rsidR="00D46FB3" w:rsidRPr="00D46FB3" w:rsidRDefault="00D46FB3" w:rsidP="00D46FB3">
      <w:pPr>
        <w:rPr>
          <w:sz w:val="2"/>
        </w:rPr>
      </w:pPr>
    </w:p>
    <w:p w:rsidR="00AF5B79" w:rsidRPr="000537E0" w:rsidRDefault="00AF5B79" w:rsidP="00AF5B79">
      <w:pPr>
        <w:jc w:val="center"/>
      </w:pPr>
      <w:r>
        <w:rPr>
          <w:noProof/>
        </w:rPr>
        <w:drawing>
          <wp:inline distT="0" distB="0" distL="0" distR="0">
            <wp:extent cx="4345989" cy="1282535"/>
            <wp:effectExtent l="19050" t="0" r="0" b="0"/>
            <wp:docPr id="13" name="Picture 12" descr="ch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jpg"/>
                    <pic:cNvPicPr/>
                  </pic:nvPicPr>
                  <pic:blipFill>
                    <a:blip r:embed="rId17" cstate="print"/>
                    <a:stretch>
                      <a:fillRect/>
                    </a:stretch>
                  </pic:blipFill>
                  <pic:spPr>
                    <a:xfrm>
                      <a:off x="0" y="0"/>
                      <a:ext cx="4377290" cy="1291772"/>
                    </a:xfrm>
                    <a:prstGeom prst="rect">
                      <a:avLst/>
                    </a:prstGeom>
                  </pic:spPr>
                </pic:pic>
              </a:graphicData>
            </a:graphic>
          </wp:inline>
        </w:drawing>
      </w:r>
    </w:p>
    <w:p w:rsidR="00DB09D8" w:rsidRPr="000537E0" w:rsidRDefault="004448A2" w:rsidP="00FE35BF">
      <w:pPr>
        <w:pStyle w:val="Heading2"/>
        <w:rPr>
          <w:sz w:val="20"/>
          <w:szCs w:val="20"/>
        </w:rPr>
      </w:pPr>
      <w:r w:rsidRPr="000537E0">
        <w:rPr>
          <w:sz w:val="20"/>
          <w:szCs w:val="20"/>
        </w:rPr>
        <w:t>The majority of manufa</w:t>
      </w:r>
      <w:r w:rsidR="00667026" w:rsidRPr="000537E0">
        <w:rPr>
          <w:sz w:val="20"/>
          <w:szCs w:val="20"/>
        </w:rPr>
        <w:t xml:space="preserve">cturing workers in MSW are well </w:t>
      </w:r>
      <w:r w:rsidRPr="000537E0">
        <w:rPr>
          <w:sz w:val="20"/>
          <w:szCs w:val="20"/>
        </w:rPr>
        <w:t>educated</w:t>
      </w:r>
    </w:p>
    <w:p w:rsidR="000537E0" w:rsidRDefault="00810A0F" w:rsidP="000537E0">
      <w:pPr>
        <w:rPr>
          <w:sz w:val="18"/>
          <w:szCs w:val="18"/>
        </w:rPr>
      </w:pPr>
      <w:r w:rsidRPr="000537E0">
        <w:rPr>
          <w:sz w:val="18"/>
          <w:szCs w:val="18"/>
        </w:rPr>
        <w:t>In 2010,</w:t>
      </w:r>
      <w:r w:rsidR="003E5CCA" w:rsidRPr="000537E0">
        <w:rPr>
          <w:sz w:val="18"/>
          <w:szCs w:val="18"/>
        </w:rPr>
        <w:t xml:space="preserve"> 21.9% of </w:t>
      </w:r>
      <w:r w:rsidRPr="000537E0">
        <w:rPr>
          <w:sz w:val="18"/>
          <w:szCs w:val="18"/>
        </w:rPr>
        <w:t xml:space="preserve">MSW </w:t>
      </w:r>
      <w:r w:rsidR="003E5CCA" w:rsidRPr="000537E0">
        <w:rPr>
          <w:sz w:val="18"/>
          <w:szCs w:val="18"/>
        </w:rPr>
        <w:t>workers had some col</w:t>
      </w:r>
      <w:r w:rsidR="00B1083E" w:rsidRPr="000537E0">
        <w:rPr>
          <w:sz w:val="18"/>
          <w:szCs w:val="18"/>
        </w:rPr>
        <w:t>lege or</w:t>
      </w:r>
      <w:r w:rsidRPr="000537E0">
        <w:rPr>
          <w:sz w:val="18"/>
          <w:szCs w:val="18"/>
        </w:rPr>
        <w:t xml:space="preserve"> an</w:t>
      </w:r>
      <w:r w:rsidR="00B1083E" w:rsidRPr="000537E0">
        <w:rPr>
          <w:sz w:val="18"/>
          <w:szCs w:val="18"/>
        </w:rPr>
        <w:t xml:space="preserve"> associate</w:t>
      </w:r>
      <w:r w:rsidRPr="000537E0">
        <w:rPr>
          <w:sz w:val="18"/>
          <w:szCs w:val="18"/>
        </w:rPr>
        <w:t>’</w:t>
      </w:r>
      <w:r w:rsidR="00B1083E" w:rsidRPr="000537E0">
        <w:rPr>
          <w:sz w:val="18"/>
          <w:szCs w:val="18"/>
        </w:rPr>
        <w:t xml:space="preserve">s degree. 52.9% </w:t>
      </w:r>
      <w:r w:rsidRPr="000537E0">
        <w:rPr>
          <w:sz w:val="18"/>
          <w:szCs w:val="18"/>
        </w:rPr>
        <w:t xml:space="preserve">had a </w:t>
      </w:r>
      <w:r w:rsidR="003E5CCA" w:rsidRPr="000537E0">
        <w:rPr>
          <w:sz w:val="18"/>
          <w:szCs w:val="18"/>
        </w:rPr>
        <w:t>bachelor</w:t>
      </w:r>
      <w:r w:rsidR="00227B71" w:rsidRPr="000537E0">
        <w:rPr>
          <w:sz w:val="18"/>
          <w:szCs w:val="18"/>
        </w:rPr>
        <w:t>’</w:t>
      </w:r>
      <w:r w:rsidR="003E5CCA" w:rsidRPr="000537E0">
        <w:rPr>
          <w:sz w:val="18"/>
          <w:szCs w:val="18"/>
        </w:rPr>
        <w:t>s or higher.</w:t>
      </w:r>
      <w:r w:rsidR="00955DF4" w:rsidRPr="000537E0">
        <w:rPr>
          <w:rStyle w:val="EndnoteReference"/>
          <w:sz w:val="18"/>
          <w:szCs w:val="18"/>
        </w:rPr>
        <w:endnoteReference w:id="44"/>
      </w:r>
    </w:p>
    <w:p w:rsidR="000537E0" w:rsidRDefault="000537E0" w:rsidP="000537E0">
      <w:pPr>
        <w:rPr>
          <w:sz w:val="18"/>
          <w:szCs w:val="18"/>
        </w:rPr>
      </w:pPr>
    </w:p>
    <w:p w:rsidR="00636941" w:rsidRDefault="00636941" w:rsidP="000537E0">
      <w:pPr>
        <w:rPr>
          <w:sz w:val="18"/>
          <w:szCs w:val="18"/>
        </w:rPr>
      </w:pPr>
    </w:p>
    <w:p w:rsidR="00636941" w:rsidRDefault="00636941" w:rsidP="000537E0">
      <w:pPr>
        <w:rPr>
          <w:sz w:val="18"/>
          <w:szCs w:val="18"/>
        </w:rPr>
      </w:pPr>
    </w:p>
    <w:p w:rsidR="00636941" w:rsidRDefault="00636941" w:rsidP="000537E0">
      <w:pPr>
        <w:rPr>
          <w:sz w:val="18"/>
          <w:szCs w:val="18"/>
        </w:rPr>
      </w:pPr>
    </w:p>
    <w:p w:rsidR="00636941" w:rsidRDefault="00636941" w:rsidP="000537E0">
      <w:pPr>
        <w:rPr>
          <w:sz w:val="18"/>
          <w:szCs w:val="18"/>
        </w:rPr>
      </w:pPr>
    </w:p>
    <w:p w:rsidR="00636941" w:rsidRDefault="00636941" w:rsidP="000537E0">
      <w:pPr>
        <w:rPr>
          <w:sz w:val="18"/>
          <w:szCs w:val="18"/>
        </w:rPr>
      </w:pPr>
    </w:p>
    <w:p w:rsidR="00636941" w:rsidRDefault="00636941" w:rsidP="000537E0">
      <w:pPr>
        <w:rPr>
          <w:sz w:val="18"/>
          <w:szCs w:val="18"/>
        </w:rPr>
      </w:pPr>
    </w:p>
    <w:p w:rsidR="00636941" w:rsidRDefault="00636941" w:rsidP="000537E0">
      <w:pPr>
        <w:rPr>
          <w:sz w:val="18"/>
          <w:szCs w:val="18"/>
        </w:rPr>
      </w:pPr>
    </w:p>
    <w:p w:rsidR="00636941" w:rsidRDefault="00636941" w:rsidP="000537E0">
      <w:pPr>
        <w:rPr>
          <w:sz w:val="18"/>
          <w:szCs w:val="18"/>
        </w:rPr>
      </w:pPr>
    </w:p>
    <w:p w:rsidR="006D3464" w:rsidRPr="000537E0" w:rsidRDefault="00BC3118" w:rsidP="000537E0">
      <w:pPr>
        <w:rPr>
          <w:rFonts w:ascii="Verdana" w:hAnsi="Verdana"/>
          <w:b/>
          <w:color w:val="1F497D" w:themeColor="text2"/>
          <w:szCs w:val="20"/>
        </w:rPr>
      </w:pPr>
      <w:r w:rsidRPr="000537E0">
        <w:rPr>
          <w:rFonts w:ascii="Verdana" w:hAnsi="Verdana"/>
          <w:b/>
          <w:color w:val="1F497D" w:themeColor="text2"/>
          <w:szCs w:val="20"/>
        </w:rPr>
        <w:lastRenderedPageBreak/>
        <w:t>Information Technology</w:t>
      </w:r>
    </w:p>
    <w:p w:rsidR="00FB0B6D" w:rsidRDefault="00514BCD" w:rsidP="005774FE">
      <w:pPr>
        <w:pStyle w:val="Heading2"/>
        <w:rPr>
          <w:sz w:val="4"/>
          <w:szCs w:val="4"/>
        </w:rPr>
      </w:pPr>
      <w:r w:rsidRPr="00514BCD">
        <w:t>Four subsectors make up the Massachusetts IT industry</w:t>
      </w:r>
      <w:r w:rsidRPr="00B46472">
        <w:rPr>
          <w:rStyle w:val="EndnoteReference"/>
          <w:b w:val="0"/>
          <w:i w:val="0"/>
        </w:rPr>
        <w:endnoteReference w:id="45"/>
      </w:r>
      <w:r>
        <w:t xml:space="preserve"> </w:t>
      </w:r>
    </w:p>
    <w:p w:rsidR="005774FE" w:rsidRPr="005774FE" w:rsidRDefault="005774FE" w:rsidP="005774FE">
      <w:pPr>
        <w:rPr>
          <w:sz w:val="10"/>
        </w:rPr>
      </w:pPr>
    </w:p>
    <w:p w:rsidR="00FB0B6D" w:rsidRPr="00AF5B79" w:rsidRDefault="00AF5B79" w:rsidP="00AF5B79">
      <w:pPr>
        <w:jc w:val="center"/>
        <w:rPr>
          <w:b/>
        </w:rPr>
      </w:pPr>
      <w:r w:rsidRPr="00AF5B79">
        <w:rPr>
          <w:b/>
        </w:rPr>
        <w:t>Massachusetts Information Technology Sectors &amp; Subsectors</w:t>
      </w:r>
    </w:p>
    <w:p w:rsidR="00096EBE" w:rsidRDefault="00FB0B6D" w:rsidP="00B2053E">
      <w:pPr>
        <w:pStyle w:val="NoSpacing"/>
        <w:jc w:val="center"/>
      </w:pPr>
      <w:r>
        <w:rPr>
          <w:noProof/>
        </w:rPr>
        <w:drawing>
          <wp:inline distT="0" distB="0" distL="0" distR="0">
            <wp:extent cx="4769658" cy="3338423"/>
            <wp:effectExtent l="19050" t="0" r="0" b="0"/>
            <wp:docPr id="3" name="Picture 2"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8" cstate="print"/>
                    <a:stretch>
                      <a:fillRect/>
                    </a:stretch>
                  </pic:blipFill>
                  <pic:spPr>
                    <a:xfrm>
                      <a:off x="0" y="0"/>
                      <a:ext cx="4775762" cy="3342696"/>
                    </a:xfrm>
                    <a:prstGeom prst="rect">
                      <a:avLst/>
                    </a:prstGeom>
                  </pic:spPr>
                </pic:pic>
              </a:graphicData>
            </a:graphic>
          </wp:inline>
        </w:drawing>
      </w:r>
    </w:p>
    <w:p w:rsidR="00FB66AA" w:rsidRDefault="00FB66AA" w:rsidP="00581CC4">
      <w:pPr>
        <w:pStyle w:val="Heading2"/>
        <w:spacing w:before="0"/>
        <w:rPr>
          <w:color w:val="548DD4" w:themeColor="text2" w:themeTint="99"/>
          <w:sz w:val="24"/>
        </w:rPr>
      </w:pPr>
    </w:p>
    <w:p w:rsidR="00AF5B79" w:rsidRPr="00151F74" w:rsidRDefault="00AF5B79" w:rsidP="002A5604">
      <w:pPr>
        <w:rPr>
          <w:rFonts w:asciiTheme="minorHAnsi" w:hAnsiTheme="minorHAnsi"/>
          <w:b/>
          <w:i/>
          <w:color w:val="548DD4" w:themeColor="text2" w:themeTint="99"/>
          <w:spacing w:val="-5"/>
          <w:sz w:val="4"/>
          <w:szCs w:val="4"/>
        </w:rPr>
      </w:pPr>
    </w:p>
    <w:p w:rsidR="00151F74" w:rsidRPr="00151F74" w:rsidRDefault="00151F74" w:rsidP="002A5604">
      <w:pPr>
        <w:rPr>
          <w:sz w:val="16"/>
        </w:rPr>
        <w:sectPr w:rsidR="00151F74" w:rsidRPr="00151F74" w:rsidSect="00F76A48">
          <w:footnotePr>
            <w:numFmt w:val="lowerRoman"/>
          </w:footnotePr>
          <w:endnotePr>
            <w:numFmt w:val="decimal"/>
          </w:endnotePr>
          <w:type w:val="continuous"/>
          <w:pgSz w:w="12240" w:h="15840"/>
          <w:pgMar w:top="1440" w:right="1440" w:bottom="1440" w:left="1440" w:header="720" w:footer="720" w:gutter="0"/>
          <w:cols w:space="720"/>
          <w:docGrid w:linePitch="360"/>
        </w:sectPr>
      </w:pPr>
    </w:p>
    <w:p w:rsidR="00FB66AA" w:rsidRPr="00FB0B6D" w:rsidRDefault="00FB66AA" w:rsidP="00FB66AA">
      <w:pPr>
        <w:pStyle w:val="Heading2"/>
        <w:spacing w:before="0"/>
        <w:rPr>
          <w:sz w:val="20"/>
          <w:szCs w:val="20"/>
        </w:rPr>
      </w:pPr>
      <w:r w:rsidRPr="00FB0B6D">
        <w:rPr>
          <w:sz w:val="20"/>
          <w:szCs w:val="20"/>
        </w:rPr>
        <w:lastRenderedPageBreak/>
        <w:t>IT has moved from hardware development and production to IT services and software over the decade</w:t>
      </w:r>
    </w:p>
    <w:p w:rsidR="00FB66AA" w:rsidRPr="00824832" w:rsidRDefault="00FB66AA" w:rsidP="002A5604">
      <w:pPr>
        <w:rPr>
          <w:sz w:val="2"/>
        </w:rPr>
      </w:pPr>
    </w:p>
    <w:p w:rsidR="00B1083E" w:rsidRPr="00FB0B6D" w:rsidRDefault="00B1083E" w:rsidP="002A5604">
      <w:pPr>
        <w:rPr>
          <w:sz w:val="18"/>
          <w:szCs w:val="18"/>
        </w:rPr>
      </w:pPr>
      <w:r w:rsidRPr="00FB0B6D">
        <w:rPr>
          <w:sz w:val="18"/>
          <w:szCs w:val="18"/>
        </w:rPr>
        <w:t xml:space="preserve">In 2000, almost 40% of the jobs were in the hardware sector. </w:t>
      </w:r>
      <w:r w:rsidR="00E546FC" w:rsidRPr="00FB0B6D">
        <w:rPr>
          <w:sz w:val="18"/>
          <w:szCs w:val="18"/>
        </w:rPr>
        <w:t>By 2008 o</w:t>
      </w:r>
      <w:r w:rsidRPr="00FB0B6D">
        <w:rPr>
          <w:sz w:val="18"/>
          <w:szCs w:val="18"/>
        </w:rPr>
        <w:t xml:space="preserve">nly 32% </w:t>
      </w:r>
      <w:r w:rsidR="009606B7" w:rsidRPr="00FB0B6D">
        <w:rPr>
          <w:sz w:val="18"/>
          <w:szCs w:val="18"/>
        </w:rPr>
        <w:t>of the jobs</w:t>
      </w:r>
      <w:r w:rsidR="00F636DE" w:rsidRPr="00FB0B6D">
        <w:rPr>
          <w:sz w:val="18"/>
          <w:szCs w:val="18"/>
        </w:rPr>
        <w:t xml:space="preserve"> were in hardware</w:t>
      </w:r>
      <w:r w:rsidRPr="00FB0B6D">
        <w:rPr>
          <w:sz w:val="18"/>
          <w:szCs w:val="18"/>
        </w:rPr>
        <w:t xml:space="preserve">. 54.5% of </w:t>
      </w:r>
      <w:r w:rsidR="00F636DE" w:rsidRPr="00FB0B6D">
        <w:rPr>
          <w:sz w:val="18"/>
          <w:szCs w:val="18"/>
        </w:rPr>
        <w:t xml:space="preserve">the </w:t>
      </w:r>
      <w:r w:rsidRPr="00FB0B6D">
        <w:rPr>
          <w:sz w:val="18"/>
          <w:szCs w:val="18"/>
        </w:rPr>
        <w:t xml:space="preserve">jobs </w:t>
      </w:r>
      <w:r w:rsidR="00F636DE" w:rsidRPr="00FB0B6D">
        <w:rPr>
          <w:sz w:val="18"/>
          <w:szCs w:val="18"/>
        </w:rPr>
        <w:t>are now in IT services and software</w:t>
      </w:r>
      <w:r w:rsidRPr="00FB0B6D">
        <w:rPr>
          <w:sz w:val="18"/>
          <w:szCs w:val="18"/>
        </w:rPr>
        <w:t>, up from 45.6% in 2000.</w:t>
      </w:r>
      <w:r w:rsidRPr="00FB0B6D">
        <w:rPr>
          <w:rStyle w:val="EndnoteReference"/>
          <w:sz w:val="18"/>
          <w:szCs w:val="18"/>
        </w:rPr>
        <w:endnoteReference w:id="46"/>
      </w:r>
    </w:p>
    <w:p w:rsidR="00B1083E" w:rsidRPr="00FB0B6D" w:rsidRDefault="00E546FC" w:rsidP="00FE35BF">
      <w:pPr>
        <w:pStyle w:val="Heading2"/>
        <w:rPr>
          <w:sz w:val="20"/>
          <w:szCs w:val="20"/>
        </w:rPr>
      </w:pPr>
      <w:r w:rsidRPr="00FB0B6D">
        <w:rPr>
          <w:sz w:val="20"/>
          <w:szCs w:val="20"/>
        </w:rPr>
        <w:t>21 o</w:t>
      </w:r>
      <w:r w:rsidR="00F636DE" w:rsidRPr="00FB0B6D">
        <w:rPr>
          <w:sz w:val="20"/>
          <w:szCs w:val="20"/>
        </w:rPr>
        <w:t xml:space="preserve">f the </w:t>
      </w:r>
      <w:r w:rsidR="00B1083E" w:rsidRPr="00FB0B6D">
        <w:rPr>
          <w:sz w:val="20"/>
          <w:szCs w:val="20"/>
        </w:rPr>
        <w:t xml:space="preserve">70 fastest growing companies ranked by revenue growth between 2009 and 2012 were in </w:t>
      </w:r>
      <w:r w:rsidR="00F636DE" w:rsidRPr="00FB0B6D">
        <w:rPr>
          <w:sz w:val="20"/>
          <w:szCs w:val="20"/>
        </w:rPr>
        <w:t>information technology firms</w:t>
      </w:r>
      <w:r w:rsidRPr="00FB0B6D">
        <w:rPr>
          <w:sz w:val="20"/>
          <w:szCs w:val="20"/>
        </w:rPr>
        <w:t>. Five were in MSW.</w:t>
      </w:r>
      <w:r w:rsidR="00B1083E" w:rsidRPr="00FB0B6D">
        <w:rPr>
          <w:rStyle w:val="EndnoteReference"/>
          <w:b w:val="0"/>
          <w:i w:val="0"/>
          <w:sz w:val="20"/>
          <w:szCs w:val="20"/>
        </w:rPr>
        <w:endnoteReference w:id="47"/>
      </w:r>
    </w:p>
    <w:tbl>
      <w:tblPr>
        <w:tblpPr w:leftFromText="180" w:rightFromText="180" w:vertAnchor="text" w:horzAnchor="margin" w:tblpXSpec="center" w:tblpY="436"/>
        <w:tblW w:w="4391" w:type="dxa"/>
        <w:tblBorders>
          <w:top w:val="single" w:sz="12" w:space="0" w:color="000000"/>
          <w:left w:val="single" w:sz="8" w:space="0" w:color="000000"/>
          <w:bottom w:val="single" w:sz="8" w:space="0" w:color="000000"/>
          <w:right w:val="single" w:sz="8" w:space="0" w:color="000000"/>
          <w:insideH w:val="single" w:sz="8" w:space="0" w:color="000000"/>
          <w:insideV w:val="single" w:sz="12" w:space="0" w:color="000000"/>
        </w:tblBorders>
        <w:tblLook w:val="04A0"/>
      </w:tblPr>
      <w:tblGrid>
        <w:gridCol w:w="4391"/>
      </w:tblGrid>
      <w:tr w:rsidR="00824832" w:rsidRPr="00BB452A" w:rsidTr="00824832">
        <w:trPr>
          <w:trHeight w:val="228"/>
        </w:trPr>
        <w:tc>
          <w:tcPr>
            <w:tcW w:w="4391" w:type="dxa"/>
            <w:tcBorders>
              <w:top w:val="single" w:sz="8" w:space="0" w:color="000000"/>
              <w:bottom w:val="single" w:sz="12" w:space="0" w:color="000000"/>
            </w:tcBorders>
            <w:shd w:val="clear" w:color="auto" w:fill="8DB3E2" w:themeFill="text2" w:themeFillTint="66"/>
            <w:noWrap/>
            <w:vAlign w:val="center"/>
          </w:tcPr>
          <w:p w:rsidR="00824832" w:rsidRPr="00BB452A" w:rsidRDefault="00824832" w:rsidP="00824832">
            <w:pPr>
              <w:pStyle w:val="Title"/>
            </w:pPr>
            <w:r>
              <w:t>5 Fastest Growing Tech firms in msw</w:t>
            </w:r>
          </w:p>
        </w:tc>
      </w:tr>
      <w:tr w:rsidR="00824832" w:rsidRPr="00BB452A" w:rsidTr="00824832">
        <w:trPr>
          <w:trHeight w:val="228"/>
        </w:trPr>
        <w:tc>
          <w:tcPr>
            <w:tcW w:w="4391" w:type="dxa"/>
            <w:tcBorders>
              <w:top w:val="single" w:sz="12" w:space="0" w:color="000000"/>
            </w:tcBorders>
            <w:shd w:val="clear" w:color="auto" w:fill="auto"/>
            <w:noWrap/>
            <w:vAlign w:val="center"/>
            <w:hideMark/>
          </w:tcPr>
          <w:p w:rsidR="00824832" w:rsidRPr="00BB452A" w:rsidRDefault="00824832" w:rsidP="00824832">
            <w:pPr>
              <w:pStyle w:val="TableBody"/>
            </w:pPr>
            <w:proofErr w:type="spellStart"/>
            <w:r w:rsidRPr="00BB452A">
              <w:t>EchoStor</w:t>
            </w:r>
            <w:proofErr w:type="spellEnd"/>
            <w:r w:rsidRPr="00BB452A">
              <w:t xml:space="preserve"> Technologies</w:t>
            </w:r>
          </w:p>
        </w:tc>
      </w:tr>
      <w:tr w:rsidR="00824832" w:rsidRPr="00BB452A" w:rsidTr="00824832">
        <w:trPr>
          <w:trHeight w:val="228"/>
        </w:trPr>
        <w:tc>
          <w:tcPr>
            <w:tcW w:w="4391" w:type="dxa"/>
            <w:shd w:val="clear" w:color="auto" w:fill="DBE5F1" w:themeFill="accent1" w:themeFillTint="33"/>
            <w:noWrap/>
            <w:vAlign w:val="center"/>
            <w:hideMark/>
          </w:tcPr>
          <w:p w:rsidR="00824832" w:rsidRPr="00BB452A" w:rsidRDefault="00824832" w:rsidP="00824832">
            <w:pPr>
              <w:pStyle w:val="TableBody"/>
            </w:pPr>
            <w:proofErr w:type="spellStart"/>
            <w:r w:rsidRPr="00BB452A">
              <w:t>Emservop</w:t>
            </w:r>
            <w:proofErr w:type="spellEnd"/>
          </w:p>
        </w:tc>
      </w:tr>
      <w:tr w:rsidR="00824832" w:rsidRPr="00BB452A" w:rsidTr="00824832">
        <w:trPr>
          <w:trHeight w:val="228"/>
        </w:trPr>
        <w:tc>
          <w:tcPr>
            <w:tcW w:w="4391" w:type="dxa"/>
            <w:shd w:val="clear" w:color="auto" w:fill="auto"/>
            <w:noWrap/>
            <w:vAlign w:val="center"/>
            <w:hideMark/>
          </w:tcPr>
          <w:p w:rsidR="00824832" w:rsidRPr="00BB452A" w:rsidRDefault="00824832" w:rsidP="00824832">
            <w:pPr>
              <w:pStyle w:val="TableBody"/>
            </w:pPr>
            <w:proofErr w:type="spellStart"/>
            <w:r w:rsidRPr="00BB452A">
              <w:t>Solidas</w:t>
            </w:r>
            <w:proofErr w:type="spellEnd"/>
            <w:r w:rsidRPr="00BB452A">
              <w:t xml:space="preserve"> Technical Solutions</w:t>
            </w:r>
          </w:p>
        </w:tc>
      </w:tr>
      <w:tr w:rsidR="00824832" w:rsidRPr="00BB452A" w:rsidTr="00824832">
        <w:trPr>
          <w:trHeight w:val="228"/>
        </w:trPr>
        <w:tc>
          <w:tcPr>
            <w:tcW w:w="4391" w:type="dxa"/>
            <w:shd w:val="clear" w:color="auto" w:fill="DBE5F1" w:themeFill="accent1" w:themeFillTint="33"/>
            <w:noWrap/>
            <w:vAlign w:val="center"/>
            <w:hideMark/>
          </w:tcPr>
          <w:p w:rsidR="00824832" w:rsidRPr="00BB452A" w:rsidRDefault="00824832" w:rsidP="00824832">
            <w:pPr>
              <w:pStyle w:val="TableBody"/>
            </w:pPr>
            <w:r w:rsidRPr="00BB452A">
              <w:t>Syrinx Consulting Corporation</w:t>
            </w:r>
          </w:p>
        </w:tc>
      </w:tr>
      <w:tr w:rsidR="00824832" w:rsidRPr="00BB452A" w:rsidTr="00824832">
        <w:trPr>
          <w:trHeight w:val="228"/>
        </w:trPr>
        <w:tc>
          <w:tcPr>
            <w:tcW w:w="4391" w:type="dxa"/>
            <w:shd w:val="clear" w:color="auto" w:fill="auto"/>
            <w:noWrap/>
            <w:vAlign w:val="center"/>
            <w:hideMark/>
          </w:tcPr>
          <w:p w:rsidR="00824832" w:rsidRPr="00BB452A" w:rsidRDefault="00824832" w:rsidP="00824832">
            <w:pPr>
              <w:pStyle w:val="TableBody"/>
            </w:pPr>
            <w:r w:rsidRPr="00BB452A">
              <w:t>NWN Corporation</w:t>
            </w:r>
          </w:p>
        </w:tc>
      </w:tr>
    </w:tbl>
    <w:p w:rsidR="00824832" w:rsidRDefault="00824832" w:rsidP="00FE35BF">
      <w:pPr>
        <w:pStyle w:val="Heading2"/>
        <w:rPr>
          <w:sz w:val="20"/>
          <w:szCs w:val="20"/>
        </w:rPr>
      </w:pPr>
    </w:p>
    <w:p w:rsidR="00824832" w:rsidRDefault="00824832" w:rsidP="00824832"/>
    <w:p w:rsidR="00824832" w:rsidRDefault="00824832" w:rsidP="00FE35BF">
      <w:pPr>
        <w:pStyle w:val="Heading2"/>
        <w:rPr>
          <w:rFonts w:ascii="Century Schoolbook" w:hAnsi="Century Schoolbook"/>
          <w:b w:val="0"/>
          <w:i w:val="0"/>
          <w:spacing w:val="0"/>
          <w:sz w:val="20"/>
          <w:szCs w:val="22"/>
        </w:rPr>
      </w:pPr>
    </w:p>
    <w:p w:rsidR="00151F74" w:rsidRPr="00151F74" w:rsidRDefault="00151F74" w:rsidP="00151F74"/>
    <w:p w:rsidR="00DB09D8" w:rsidRDefault="00BE2951" w:rsidP="00FE35BF">
      <w:pPr>
        <w:pStyle w:val="Heading2"/>
        <w:rPr>
          <w:sz w:val="4"/>
          <w:szCs w:val="4"/>
        </w:rPr>
      </w:pPr>
      <w:r w:rsidRPr="00FB0B6D">
        <w:rPr>
          <w:sz w:val="20"/>
          <w:szCs w:val="20"/>
        </w:rPr>
        <w:lastRenderedPageBreak/>
        <w:t xml:space="preserve">Although reduced in size since 2000, IT </w:t>
      </w:r>
      <w:r w:rsidR="00092376" w:rsidRPr="00FB0B6D">
        <w:rPr>
          <w:sz w:val="20"/>
          <w:szCs w:val="20"/>
        </w:rPr>
        <w:t xml:space="preserve">is </w:t>
      </w:r>
      <w:r w:rsidRPr="00FB0B6D">
        <w:rPr>
          <w:sz w:val="20"/>
          <w:szCs w:val="20"/>
        </w:rPr>
        <w:t>still a significant presence in the Commonwealth and in MSW</w:t>
      </w:r>
    </w:p>
    <w:p w:rsidR="00B1083E" w:rsidRPr="00FB0B6D" w:rsidRDefault="00B1083E" w:rsidP="002A5604">
      <w:pPr>
        <w:rPr>
          <w:sz w:val="18"/>
          <w:szCs w:val="18"/>
        </w:rPr>
      </w:pPr>
      <w:r w:rsidRPr="00FB0B6D">
        <w:rPr>
          <w:sz w:val="18"/>
          <w:szCs w:val="18"/>
        </w:rPr>
        <w:t xml:space="preserve">At its height in 2000, IT firms statewide employed over 240,000 people. In 2008, that number </w:t>
      </w:r>
      <w:r w:rsidR="00667026" w:rsidRPr="00FB0B6D">
        <w:rPr>
          <w:sz w:val="18"/>
          <w:szCs w:val="18"/>
        </w:rPr>
        <w:t xml:space="preserve">had </w:t>
      </w:r>
      <w:r w:rsidRPr="00FB0B6D">
        <w:rPr>
          <w:sz w:val="18"/>
          <w:szCs w:val="18"/>
        </w:rPr>
        <w:t xml:space="preserve">shrunk to 178,322. </w:t>
      </w:r>
      <w:r w:rsidRPr="00FB0B6D">
        <w:rPr>
          <w:rStyle w:val="EndnoteReference"/>
          <w:sz w:val="18"/>
          <w:szCs w:val="18"/>
        </w:rPr>
        <w:endnoteReference w:id="48"/>
      </w:r>
    </w:p>
    <w:p w:rsidR="00885FE3" w:rsidRPr="005F68CB" w:rsidRDefault="00E546FC" w:rsidP="005F68CB">
      <w:pPr>
        <w:rPr>
          <w:sz w:val="18"/>
          <w:szCs w:val="18"/>
        </w:rPr>
        <w:sectPr w:rsidR="00885FE3" w:rsidRPr="005F68CB" w:rsidSect="00885FE3">
          <w:footnotePr>
            <w:numFmt w:val="lowerRoman"/>
          </w:footnotePr>
          <w:endnotePr>
            <w:numFmt w:val="decimal"/>
          </w:endnotePr>
          <w:type w:val="continuous"/>
          <w:pgSz w:w="12240" w:h="15840"/>
          <w:pgMar w:top="1440" w:right="1440" w:bottom="1440" w:left="1440" w:header="720" w:footer="720" w:gutter="0"/>
          <w:cols w:space="720"/>
          <w:docGrid w:linePitch="360"/>
        </w:sectPr>
      </w:pPr>
      <w:r w:rsidRPr="00FB0B6D">
        <w:rPr>
          <w:sz w:val="18"/>
          <w:szCs w:val="18"/>
        </w:rPr>
        <w:t>In the third quarter of 2012</w:t>
      </w:r>
      <w:r w:rsidR="00BE2951" w:rsidRPr="00FB0B6D">
        <w:rPr>
          <w:sz w:val="18"/>
          <w:szCs w:val="18"/>
        </w:rPr>
        <w:t xml:space="preserve"> there were 27,291 information jobs in MSW, slightly over five percent of all jobs in the regio</w:t>
      </w:r>
      <w:r w:rsidR="005F68CB">
        <w:rPr>
          <w:sz w:val="18"/>
          <w:szCs w:val="18"/>
        </w:rPr>
        <w:t>n.</w:t>
      </w:r>
    </w:p>
    <w:p w:rsidR="005470C6" w:rsidRDefault="00092376" w:rsidP="005F68CB">
      <w:pPr>
        <w:pStyle w:val="Heading2"/>
        <w:rPr>
          <w:sz w:val="4"/>
          <w:szCs w:val="4"/>
        </w:rPr>
      </w:pPr>
      <w:r w:rsidRPr="00FB0B6D">
        <w:rPr>
          <w:sz w:val="20"/>
          <w:szCs w:val="20"/>
        </w:rPr>
        <w:lastRenderedPageBreak/>
        <w:t xml:space="preserve">There is </w:t>
      </w:r>
      <w:r w:rsidR="005470C6" w:rsidRPr="00FB0B6D">
        <w:rPr>
          <w:sz w:val="20"/>
          <w:szCs w:val="20"/>
        </w:rPr>
        <w:t>opportunity for workers with some post-secondary education, but not a bachelor’s degree—middle skills jobs</w:t>
      </w:r>
    </w:p>
    <w:p w:rsidR="005F68CB" w:rsidRPr="005F68CB" w:rsidRDefault="005F68CB" w:rsidP="005F68CB">
      <w:pPr>
        <w:rPr>
          <w:sz w:val="4"/>
        </w:rPr>
      </w:pPr>
    </w:p>
    <w:p w:rsidR="005470C6" w:rsidRDefault="005470C6" w:rsidP="005F68CB">
      <w:pPr>
        <w:rPr>
          <w:sz w:val="18"/>
          <w:szCs w:val="18"/>
        </w:rPr>
      </w:pPr>
      <w:r w:rsidRPr="005F68CB">
        <w:rPr>
          <w:sz w:val="18"/>
          <w:szCs w:val="18"/>
        </w:rPr>
        <w:t>In 2011, there were 153,560 IT middle skills job openings statewide.</w:t>
      </w:r>
      <w:r w:rsidRPr="00FB0B6D">
        <w:rPr>
          <w:rStyle w:val="EndnoteReference"/>
          <w:sz w:val="18"/>
          <w:szCs w:val="18"/>
        </w:rPr>
        <w:endnoteReference w:id="49"/>
      </w:r>
    </w:p>
    <w:p w:rsidR="005F68CB" w:rsidRDefault="005F68CB" w:rsidP="005F68CB">
      <w:pPr>
        <w:rPr>
          <w:sz w:val="18"/>
          <w:szCs w:val="18"/>
        </w:rPr>
      </w:pPr>
    </w:p>
    <w:tbl>
      <w:tblPr>
        <w:tblW w:w="4560" w:type="dxa"/>
        <w:jc w:val="center"/>
        <w:tblInd w:w="468" w:type="dxa"/>
        <w:tblLook w:val="04A0"/>
      </w:tblPr>
      <w:tblGrid>
        <w:gridCol w:w="3293"/>
        <w:gridCol w:w="1267"/>
      </w:tblGrid>
      <w:tr w:rsidR="0057736E" w:rsidRPr="00BB452A" w:rsidTr="005F68CB">
        <w:trPr>
          <w:trHeight w:val="245"/>
          <w:jc w:val="center"/>
        </w:trPr>
        <w:tc>
          <w:tcPr>
            <w:tcW w:w="4560" w:type="dxa"/>
            <w:gridSpan w:val="2"/>
            <w:tcBorders>
              <w:top w:val="single" w:sz="8" w:space="0" w:color="auto"/>
              <w:left w:val="single" w:sz="8" w:space="0" w:color="auto"/>
              <w:bottom w:val="single" w:sz="12" w:space="0" w:color="000000"/>
              <w:right w:val="single" w:sz="8" w:space="0" w:color="auto"/>
            </w:tcBorders>
            <w:shd w:val="clear" w:color="auto" w:fill="8DB3E2" w:themeFill="text2" w:themeFillTint="66"/>
            <w:vAlign w:val="center"/>
          </w:tcPr>
          <w:p w:rsidR="0057736E" w:rsidRPr="00BB452A" w:rsidRDefault="0057736E" w:rsidP="0057736E">
            <w:pPr>
              <w:pStyle w:val="Title"/>
            </w:pPr>
            <w:r>
              <w:t>IT middle skills jobs in mass</w:t>
            </w:r>
            <w:r w:rsidR="00667026">
              <w:t>achusetts</w:t>
            </w:r>
          </w:p>
        </w:tc>
      </w:tr>
      <w:tr w:rsidR="00BB452A" w:rsidRPr="00BB452A" w:rsidTr="005F68CB">
        <w:trPr>
          <w:trHeight w:val="357"/>
          <w:jc w:val="center"/>
        </w:trPr>
        <w:tc>
          <w:tcPr>
            <w:tcW w:w="3293" w:type="dxa"/>
            <w:tcBorders>
              <w:top w:val="single" w:sz="12" w:space="0" w:color="000000"/>
              <w:left w:val="single" w:sz="8" w:space="0" w:color="auto"/>
              <w:bottom w:val="single" w:sz="8" w:space="0" w:color="auto"/>
              <w:right w:val="single" w:sz="8" w:space="0" w:color="auto"/>
            </w:tcBorders>
            <w:shd w:val="clear" w:color="auto" w:fill="auto"/>
            <w:vAlign w:val="center"/>
            <w:hideMark/>
          </w:tcPr>
          <w:p w:rsidR="00BB452A" w:rsidRPr="00BB452A" w:rsidRDefault="00BB452A" w:rsidP="0057736E">
            <w:pPr>
              <w:pStyle w:val="TableBody"/>
              <w:jc w:val="left"/>
            </w:pPr>
            <w:r w:rsidRPr="00BB452A">
              <w:t xml:space="preserve">Computer Network &amp; Database System Administrators </w:t>
            </w:r>
          </w:p>
        </w:tc>
        <w:tc>
          <w:tcPr>
            <w:tcW w:w="1267" w:type="dxa"/>
            <w:tcBorders>
              <w:top w:val="single" w:sz="12" w:space="0" w:color="000000"/>
              <w:left w:val="nil"/>
              <w:bottom w:val="single" w:sz="8" w:space="0" w:color="auto"/>
              <w:right w:val="single" w:sz="8" w:space="0" w:color="auto"/>
            </w:tcBorders>
            <w:shd w:val="clear" w:color="auto" w:fill="auto"/>
            <w:noWrap/>
            <w:vAlign w:val="bottom"/>
            <w:hideMark/>
          </w:tcPr>
          <w:p w:rsidR="00BB452A" w:rsidRPr="00BB452A" w:rsidRDefault="00BB452A" w:rsidP="00B2053E">
            <w:pPr>
              <w:pStyle w:val="TableBody"/>
            </w:pPr>
            <w:r w:rsidRPr="00BB452A">
              <w:t>32,610</w:t>
            </w:r>
          </w:p>
        </w:tc>
      </w:tr>
      <w:tr w:rsidR="00BB452A" w:rsidRPr="00BB452A" w:rsidTr="005F68CB">
        <w:trPr>
          <w:trHeight w:val="235"/>
          <w:jc w:val="center"/>
        </w:trPr>
        <w:tc>
          <w:tcPr>
            <w:tcW w:w="3293"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BB452A" w:rsidRPr="00BB452A" w:rsidRDefault="00BB452A" w:rsidP="0057736E">
            <w:pPr>
              <w:pStyle w:val="TableBody"/>
              <w:jc w:val="left"/>
            </w:pPr>
            <w:r w:rsidRPr="00BB452A">
              <w:t>IT &amp; User Support</w:t>
            </w:r>
          </w:p>
        </w:tc>
        <w:tc>
          <w:tcPr>
            <w:tcW w:w="1267"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BB452A" w:rsidRPr="00BB452A" w:rsidRDefault="00BB452A" w:rsidP="0057736E">
            <w:pPr>
              <w:pStyle w:val="TableBody"/>
            </w:pPr>
            <w:r w:rsidRPr="00BB452A">
              <w:t>24,732</w:t>
            </w:r>
          </w:p>
        </w:tc>
      </w:tr>
      <w:tr w:rsidR="00BB452A" w:rsidRPr="00BB452A" w:rsidTr="005F68CB">
        <w:trPr>
          <w:trHeight w:val="235"/>
          <w:jc w:val="center"/>
        </w:trPr>
        <w:tc>
          <w:tcPr>
            <w:tcW w:w="3293" w:type="dxa"/>
            <w:tcBorders>
              <w:top w:val="nil"/>
              <w:left w:val="single" w:sz="8" w:space="0" w:color="auto"/>
              <w:bottom w:val="single" w:sz="8" w:space="0" w:color="auto"/>
              <w:right w:val="single" w:sz="8" w:space="0" w:color="auto"/>
            </w:tcBorders>
            <w:shd w:val="clear" w:color="auto" w:fill="auto"/>
            <w:noWrap/>
            <w:vAlign w:val="center"/>
            <w:hideMark/>
          </w:tcPr>
          <w:p w:rsidR="00BB452A" w:rsidRPr="00BB452A" w:rsidRDefault="00BB452A" w:rsidP="0057736E">
            <w:pPr>
              <w:pStyle w:val="TableBody"/>
              <w:jc w:val="left"/>
            </w:pPr>
            <w:r w:rsidRPr="00BB452A">
              <w:t>Web</w:t>
            </w:r>
            <w:r w:rsidR="0057736E">
              <w:t>–I</w:t>
            </w:r>
            <w:r w:rsidRPr="00BB452A">
              <w:t>nternet</w:t>
            </w:r>
            <w:r w:rsidR="0057736E">
              <w:t>–D</w:t>
            </w:r>
            <w:r w:rsidRPr="00BB452A">
              <w:t>igital Media</w:t>
            </w:r>
          </w:p>
        </w:tc>
        <w:tc>
          <w:tcPr>
            <w:tcW w:w="1267" w:type="dxa"/>
            <w:tcBorders>
              <w:top w:val="nil"/>
              <w:left w:val="nil"/>
              <w:bottom w:val="single" w:sz="8" w:space="0" w:color="auto"/>
              <w:right w:val="single" w:sz="8" w:space="0" w:color="auto"/>
            </w:tcBorders>
            <w:shd w:val="clear" w:color="auto" w:fill="auto"/>
            <w:noWrap/>
            <w:vAlign w:val="center"/>
            <w:hideMark/>
          </w:tcPr>
          <w:p w:rsidR="00BB452A" w:rsidRPr="00BB452A" w:rsidRDefault="00BB452A" w:rsidP="0057736E">
            <w:pPr>
              <w:pStyle w:val="TableBody"/>
            </w:pPr>
            <w:r w:rsidRPr="00BB452A">
              <w:t>21,541</w:t>
            </w:r>
          </w:p>
        </w:tc>
      </w:tr>
      <w:tr w:rsidR="00BB452A" w:rsidRPr="00BB452A" w:rsidTr="005F68CB">
        <w:trPr>
          <w:trHeight w:val="235"/>
          <w:jc w:val="center"/>
        </w:trPr>
        <w:tc>
          <w:tcPr>
            <w:tcW w:w="3293"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BB452A" w:rsidRPr="00BB452A" w:rsidRDefault="00BB452A" w:rsidP="0057736E">
            <w:pPr>
              <w:pStyle w:val="TableBody"/>
              <w:jc w:val="left"/>
            </w:pPr>
            <w:r w:rsidRPr="00BB452A">
              <w:t>Data &amp; Information Management</w:t>
            </w:r>
          </w:p>
        </w:tc>
        <w:tc>
          <w:tcPr>
            <w:tcW w:w="1267"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BB452A" w:rsidRPr="00BB452A" w:rsidRDefault="00BB452A" w:rsidP="0057736E">
            <w:pPr>
              <w:pStyle w:val="TableBody"/>
            </w:pPr>
            <w:r w:rsidRPr="00BB452A">
              <w:t>20,093</w:t>
            </w:r>
          </w:p>
        </w:tc>
      </w:tr>
    </w:tbl>
    <w:p w:rsidR="0006090B" w:rsidRDefault="005470C6" w:rsidP="0057736E">
      <w:pPr>
        <w:spacing w:before="240"/>
        <w:rPr>
          <w:sz w:val="18"/>
          <w:szCs w:val="18"/>
        </w:rPr>
      </w:pPr>
      <w:r w:rsidRPr="00FB0B6D">
        <w:rPr>
          <w:sz w:val="18"/>
          <w:szCs w:val="18"/>
        </w:rPr>
        <w:t xml:space="preserve">Demand for </w:t>
      </w:r>
      <w:r w:rsidR="00B1083E" w:rsidRPr="00FB0B6D">
        <w:rPr>
          <w:sz w:val="18"/>
          <w:szCs w:val="18"/>
        </w:rPr>
        <w:t>software developers for network/computer systems</w:t>
      </w:r>
      <w:r w:rsidRPr="00FB0B6D">
        <w:rPr>
          <w:sz w:val="18"/>
          <w:szCs w:val="18"/>
        </w:rPr>
        <w:t xml:space="preserve"> is expected to rise </w:t>
      </w:r>
      <w:r w:rsidR="00B1083E" w:rsidRPr="00FB0B6D">
        <w:rPr>
          <w:sz w:val="18"/>
          <w:szCs w:val="18"/>
        </w:rPr>
        <w:t>by 71.7</w:t>
      </w:r>
      <w:r w:rsidRPr="00FB0B6D">
        <w:rPr>
          <w:sz w:val="18"/>
          <w:szCs w:val="18"/>
        </w:rPr>
        <w:t>%</w:t>
      </w:r>
      <w:r w:rsidR="00B1083E" w:rsidRPr="00FB0B6D">
        <w:rPr>
          <w:sz w:val="18"/>
          <w:szCs w:val="18"/>
        </w:rPr>
        <w:t xml:space="preserve"> between 2010 and 2020.</w:t>
      </w:r>
      <w:r w:rsidR="00B1083E" w:rsidRPr="00FB0B6D">
        <w:rPr>
          <w:rStyle w:val="EndnoteReference"/>
          <w:sz w:val="18"/>
          <w:szCs w:val="18"/>
        </w:rPr>
        <w:endnoteReference w:id="50"/>
      </w:r>
    </w:p>
    <w:tbl>
      <w:tblPr>
        <w:tblW w:w="5009" w:type="dxa"/>
        <w:jc w:val="center"/>
        <w:tblInd w:w="1998" w:type="dxa"/>
        <w:tblLook w:val="04A0"/>
      </w:tblPr>
      <w:tblGrid>
        <w:gridCol w:w="2585"/>
        <w:gridCol w:w="2424"/>
      </w:tblGrid>
      <w:tr w:rsidR="0057736E" w:rsidRPr="00E54F42" w:rsidTr="005F68CB">
        <w:trPr>
          <w:trHeight w:val="247"/>
          <w:jc w:val="center"/>
        </w:trPr>
        <w:tc>
          <w:tcPr>
            <w:tcW w:w="5009" w:type="dxa"/>
            <w:gridSpan w:val="2"/>
            <w:tcBorders>
              <w:top w:val="single" w:sz="8" w:space="0" w:color="auto"/>
              <w:left w:val="single" w:sz="8" w:space="0" w:color="auto"/>
              <w:bottom w:val="single" w:sz="12" w:space="0" w:color="000000"/>
              <w:right w:val="single" w:sz="8" w:space="0" w:color="auto"/>
            </w:tcBorders>
            <w:shd w:val="clear" w:color="auto" w:fill="8DB3E2" w:themeFill="text2" w:themeFillTint="66"/>
            <w:noWrap/>
            <w:vAlign w:val="center"/>
          </w:tcPr>
          <w:p w:rsidR="0057736E" w:rsidRDefault="0057736E" w:rsidP="0057736E">
            <w:pPr>
              <w:pStyle w:val="Title"/>
            </w:pPr>
            <w:r>
              <w:t>Software Developer Growth Areas</w:t>
            </w:r>
          </w:p>
        </w:tc>
      </w:tr>
      <w:tr w:rsidR="0057736E" w:rsidRPr="00E54F42" w:rsidTr="005F68CB">
        <w:trPr>
          <w:trHeight w:val="247"/>
          <w:jc w:val="center"/>
        </w:trPr>
        <w:tc>
          <w:tcPr>
            <w:tcW w:w="2585" w:type="dxa"/>
            <w:tcBorders>
              <w:top w:val="single" w:sz="12" w:space="0" w:color="000000"/>
              <w:left w:val="single" w:sz="8" w:space="0" w:color="auto"/>
              <w:bottom w:val="single" w:sz="8" w:space="0" w:color="auto"/>
              <w:right w:val="single" w:sz="8" w:space="0" w:color="auto"/>
            </w:tcBorders>
            <w:shd w:val="clear" w:color="auto" w:fill="auto"/>
            <w:noWrap/>
            <w:vAlign w:val="center"/>
            <w:hideMark/>
          </w:tcPr>
          <w:p w:rsidR="0057736E" w:rsidRPr="00E54F42" w:rsidRDefault="0057736E" w:rsidP="0057736E">
            <w:pPr>
              <w:pStyle w:val="TableBody"/>
            </w:pPr>
            <w:r w:rsidRPr="00E54F42">
              <w:t>Jav</w:t>
            </w:r>
            <w:r>
              <w:t>a</w:t>
            </w:r>
            <w:r w:rsidRPr="00E54F42">
              <w:t>/j2EE/Java Developer</w:t>
            </w:r>
          </w:p>
        </w:tc>
        <w:tc>
          <w:tcPr>
            <w:tcW w:w="2424" w:type="dxa"/>
            <w:tcBorders>
              <w:top w:val="single" w:sz="12" w:space="0" w:color="000000"/>
              <w:left w:val="single" w:sz="8" w:space="0" w:color="auto"/>
              <w:bottom w:val="single" w:sz="8" w:space="0" w:color="auto"/>
              <w:right w:val="single" w:sz="8" w:space="0" w:color="auto"/>
            </w:tcBorders>
            <w:vAlign w:val="center"/>
          </w:tcPr>
          <w:p w:rsidR="0057736E" w:rsidRPr="00E54F42" w:rsidRDefault="0057736E" w:rsidP="0057736E">
            <w:pPr>
              <w:pStyle w:val="TableBody"/>
            </w:pPr>
            <w:r w:rsidRPr="00E54F42">
              <w:t>SAP</w:t>
            </w:r>
          </w:p>
        </w:tc>
      </w:tr>
      <w:tr w:rsidR="0057736E" w:rsidRPr="00E54F42" w:rsidTr="005F68CB">
        <w:trPr>
          <w:trHeight w:val="247"/>
          <w:jc w:val="center"/>
        </w:trPr>
        <w:tc>
          <w:tcPr>
            <w:tcW w:w="2585" w:type="dxa"/>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rsidR="0057736E" w:rsidRPr="00E54F42" w:rsidRDefault="0057736E" w:rsidP="0057736E">
            <w:pPr>
              <w:pStyle w:val="TableBody"/>
            </w:pPr>
            <w:r w:rsidRPr="00E54F42">
              <w:t>Mobile</w:t>
            </w:r>
          </w:p>
        </w:tc>
        <w:tc>
          <w:tcPr>
            <w:tcW w:w="2424" w:type="dxa"/>
            <w:tcBorders>
              <w:top w:val="nil"/>
              <w:left w:val="single" w:sz="8" w:space="0" w:color="auto"/>
              <w:bottom w:val="single" w:sz="8" w:space="0" w:color="auto"/>
              <w:right w:val="single" w:sz="8" w:space="0" w:color="auto"/>
            </w:tcBorders>
            <w:shd w:val="clear" w:color="auto" w:fill="C6D9F1" w:themeFill="text2" w:themeFillTint="33"/>
            <w:vAlign w:val="center"/>
          </w:tcPr>
          <w:p w:rsidR="0057736E" w:rsidRPr="00E54F42" w:rsidRDefault="0057736E" w:rsidP="0057736E">
            <w:pPr>
              <w:pStyle w:val="TableBody"/>
            </w:pPr>
            <w:r w:rsidRPr="00E54F42">
              <w:t>SharePoint</w:t>
            </w:r>
          </w:p>
        </w:tc>
      </w:tr>
      <w:tr w:rsidR="0057736E" w:rsidRPr="00E54F42" w:rsidTr="005F68CB">
        <w:trPr>
          <w:trHeight w:val="247"/>
          <w:jc w:val="center"/>
        </w:trPr>
        <w:tc>
          <w:tcPr>
            <w:tcW w:w="2585" w:type="dxa"/>
            <w:tcBorders>
              <w:top w:val="nil"/>
              <w:left w:val="single" w:sz="8" w:space="0" w:color="auto"/>
              <w:bottom w:val="single" w:sz="8" w:space="0" w:color="auto"/>
              <w:right w:val="single" w:sz="8" w:space="0" w:color="auto"/>
            </w:tcBorders>
            <w:shd w:val="clear" w:color="auto" w:fill="auto"/>
            <w:noWrap/>
            <w:vAlign w:val="center"/>
            <w:hideMark/>
          </w:tcPr>
          <w:p w:rsidR="0057736E" w:rsidRPr="00E54F42" w:rsidRDefault="0057736E" w:rsidP="0057736E">
            <w:pPr>
              <w:pStyle w:val="TableBody"/>
            </w:pPr>
            <w:r w:rsidRPr="00E54F42">
              <w:t>NET</w:t>
            </w:r>
          </w:p>
        </w:tc>
        <w:tc>
          <w:tcPr>
            <w:tcW w:w="2424" w:type="dxa"/>
            <w:tcBorders>
              <w:top w:val="nil"/>
              <w:left w:val="single" w:sz="8" w:space="0" w:color="auto"/>
              <w:bottom w:val="single" w:sz="8" w:space="0" w:color="auto"/>
              <w:right w:val="single" w:sz="8" w:space="0" w:color="auto"/>
            </w:tcBorders>
            <w:vAlign w:val="center"/>
          </w:tcPr>
          <w:p w:rsidR="0057736E" w:rsidRPr="00E54F42" w:rsidRDefault="0057736E" w:rsidP="0057736E">
            <w:pPr>
              <w:pStyle w:val="TableBody"/>
            </w:pPr>
            <w:r w:rsidRPr="00E54F42">
              <w:t>Web Developer</w:t>
            </w:r>
          </w:p>
        </w:tc>
      </w:tr>
      <w:tr w:rsidR="0057736E" w:rsidRPr="00E54F42" w:rsidTr="005F68CB">
        <w:trPr>
          <w:trHeight w:val="247"/>
          <w:jc w:val="center"/>
        </w:trPr>
        <w:tc>
          <w:tcPr>
            <w:tcW w:w="2585" w:type="dxa"/>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rsidR="0057736E" w:rsidRPr="00E54F42" w:rsidRDefault="0057736E" w:rsidP="0057736E">
            <w:pPr>
              <w:pStyle w:val="TableBody"/>
            </w:pPr>
            <w:r w:rsidRPr="00E54F42">
              <w:t>Software Developers</w:t>
            </w:r>
          </w:p>
        </w:tc>
        <w:tc>
          <w:tcPr>
            <w:tcW w:w="2424" w:type="dxa"/>
            <w:tcBorders>
              <w:top w:val="nil"/>
              <w:left w:val="single" w:sz="8" w:space="0" w:color="auto"/>
              <w:bottom w:val="single" w:sz="8" w:space="0" w:color="auto"/>
              <w:right w:val="single" w:sz="8" w:space="0" w:color="auto"/>
            </w:tcBorders>
            <w:shd w:val="clear" w:color="auto" w:fill="C6D9F1" w:themeFill="text2" w:themeFillTint="33"/>
            <w:vAlign w:val="center"/>
          </w:tcPr>
          <w:p w:rsidR="0057736E" w:rsidRPr="00E54F42" w:rsidRDefault="0057736E" w:rsidP="0057736E">
            <w:pPr>
              <w:pStyle w:val="TableBody"/>
            </w:pPr>
            <w:r w:rsidRPr="00E54F42">
              <w:t>Network Engineers</w:t>
            </w:r>
          </w:p>
        </w:tc>
      </w:tr>
      <w:tr w:rsidR="0057736E" w:rsidRPr="005F68CB" w:rsidTr="005F68CB">
        <w:trPr>
          <w:trHeight w:val="247"/>
          <w:jc w:val="center"/>
        </w:trPr>
        <w:tc>
          <w:tcPr>
            <w:tcW w:w="2585" w:type="dxa"/>
            <w:tcBorders>
              <w:top w:val="nil"/>
              <w:left w:val="single" w:sz="8" w:space="0" w:color="auto"/>
              <w:bottom w:val="single" w:sz="8" w:space="0" w:color="auto"/>
              <w:right w:val="single" w:sz="8" w:space="0" w:color="auto"/>
            </w:tcBorders>
            <w:shd w:val="clear" w:color="auto" w:fill="auto"/>
            <w:noWrap/>
            <w:vAlign w:val="center"/>
            <w:hideMark/>
          </w:tcPr>
          <w:p w:rsidR="0057736E" w:rsidRPr="00E54F42" w:rsidRDefault="0057736E" w:rsidP="0057736E">
            <w:pPr>
              <w:pStyle w:val="TableBody"/>
            </w:pPr>
            <w:r w:rsidRPr="00E54F42">
              <w:t>Security</w:t>
            </w:r>
          </w:p>
        </w:tc>
        <w:tc>
          <w:tcPr>
            <w:tcW w:w="2424" w:type="dxa"/>
            <w:tcBorders>
              <w:top w:val="nil"/>
              <w:left w:val="single" w:sz="8" w:space="0" w:color="auto"/>
              <w:bottom w:val="single" w:sz="8" w:space="0" w:color="auto"/>
              <w:right w:val="single" w:sz="8" w:space="0" w:color="auto"/>
            </w:tcBorders>
            <w:vAlign w:val="center"/>
          </w:tcPr>
          <w:p w:rsidR="0057736E" w:rsidRPr="00E54F42" w:rsidRDefault="0057736E" w:rsidP="0057736E">
            <w:pPr>
              <w:pStyle w:val="TableBody"/>
            </w:pPr>
            <w:r w:rsidRPr="00E54F42">
              <w:t>Networking Cloud 900</w:t>
            </w:r>
          </w:p>
        </w:tc>
      </w:tr>
    </w:tbl>
    <w:p w:rsidR="005F68CB" w:rsidRPr="005F68CB" w:rsidRDefault="005F68CB" w:rsidP="005F68CB"/>
    <w:p w:rsidR="00896256" w:rsidRPr="00896256" w:rsidRDefault="00DF367B" w:rsidP="00896256">
      <w:pPr>
        <w:pStyle w:val="Heading2"/>
        <w:rPr>
          <w:sz w:val="20"/>
          <w:szCs w:val="20"/>
        </w:rPr>
      </w:pPr>
      <w:r>
        <w:rPr>
          <w:sz w:val="20"/>
          <w:szCs w:val="20"/>
        </w:rPr>
        <w:t>I</w:t>
      </w:r>
      <w:r w:rsidR="006C0B63" w:rsidRPr="00FB0B6D">
        <w:rPr>
          <w:sz w:val="20"/>
          <w:szCs w:val="20"/>
        </w:rPr>
        <w:t xml:space="preserve">T industry salaries </w:t>
      </w:r>
      <w:r w:rsidR="00092376" w:rsidRPr="00FB0B6D">
        <w:rPr>
          <w:sz w:val="20"/>
          <w:szCs w:val="20"/>
        </w:rPr>
        <w:t xml:space="preserve">are </w:t>
      </w:r>
      <w:r w:rsidR="006C0B63" w:rsidRPr="00FB0B6D">
        <w:rPr>
          <w:sz w:val="20"/>
          <w:szCs w:val="20"/>
        </w:rPr>
        <w:t xml:space="preserve">higher than </w:t>
      </w:r>
      <w:r w:rsidR="00092376" w:rsidRPr="00FB0B6D">
        <w:rPr>
          <w:sz w:val="20"/>
          <w:szCs w:val="20"/>
        </w:rPr>
        <w:t xml:space="preserve">salaries in </w:t>
      </w:r>
      <w:r w:rsidR="006C0B63" w:rsidRPr="00FB0B6D">
        <w:rPr>
          <w:sz w:val="20"/>
          <w:szCs w:val="20"/>
        </w:rPr>
        <w:t>other industries in Massachusetts</w:t>
      </w:r>
      <w:r w:rsidR="00B1083E" w:rsidRPr="00FB0B6D">
        <w:rPr>
          <w:rStyle w:val="EndnoteReference"/>
          <w:sz w:val="20"/>
          <w:szCs w:val="20"/>
        </w:rPr>
        <w:endnoteReference w:id="51"/>
      </w:r>
    </w:p>
    <w:p w:rsidR="00896256" w:rsidRDefault="00896256" w:rsidP="00896256">
      <w:pPr>
        <w:spacing w:before="240"/>
        <w:jc w:val="center"/>
        <w:rPr>
          <w:sz w:val="10"/>
        </w:rPr>
      </w:pPr>
      <w:r>
        <w:rPr>
          <w:noProof/>
          <w:sz w:val="10"/>
        </w:rPr>
        <w:drawing>
          <wp:inline distT="0" distB="0" distL="0" distR="0">
            <wp:extent cx="3026898" cy="1346200"/>
            <wp:effectExtent l="19050" t="0" r="2052" b="0"/>
            <wp:docPr id="14" name="Picture 13" descr="ch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jpg"/>
                    <pic:cNvPicPr/>
                  </pic:nvPicPr>
                  <pic:blipFill>
                    <a:blip r:embed="rId19" cstate="print"/>
                    <a:stretch>
                      <a:fillRect/>
                    </a:stretch>
                  </pic:blipFill>
                  <pic:spPr>
                    <a:xfrm>
                      <a:off x="0" y="0"/>
                      <a:ext cx="3035381" cy="1349973"/>
                    </a:xfrm>
                    <a:prstGeom prst="rect">
                      <a:avLst/>
                    </a:prstGeom>
                  </pic:spPr>
                </pic:pic>
              </a:graphicData>
            </a:graphic>
          </wp:inline>
        </w:drawing>
      </w:r>
    </w:p>
    <w:p w:rsidR="0006090B" w:rsidRPr="005F68CB" w:rsidRDefault="00B1083E" w:rsidP="0057736E">
      <w:pPr>
        <w:spacing w:before="240"/>
        <w:rPr>
          <w:sz w:val="18"/>
          <w:szCs w:val="18"/>
        </w:rPr>
      </w:pPr>
      <w:r w:rsidRPr="005F68CB">
        <w:rPr>
          <w:sz w:val="18"/>
          <w:szCs w:val="18"/>
        </w:rPr>
        <w:t>The median salary for software developers specializing in systems design was $94,570 in 2011. Software application developers were not far behind at $88,120, whi</w:t>
      </w:r>
      <w:r w:rsidR="006C0B63" w:rsidRPr="005F68CB">
        <w:rPr>
          <w:sz w:val="18"/>
          <w:szCs w:val="18"/>
        </w:rPr>
        <w:t>le co</w:t>
      </w:r>
      <w:r w:rsidRPr="005F68CB">
        <w:rPr>
          <w:sz w:val="18"/>
          <w:szCs w:val="18"/>
        </w:rPr>
        <w:t xml:space="preserve">mputer systems analysts had a 2011 median </w:t>
      </w:r>
      <w:r w:rsidR="00667026" w:rsidRPr="005F68CB">
        <w:rPr>
          <w:sz w:val="18"/>
          <w:szCs w:val="18"/>
        </w:rPr>
        <w:t xml:space="preserve">salary </w:t>
      </w:r>
      <w:r w:rsidRPr="005F68CB">
        <w:rPr>
          <w:sz w:val="18"/>
          <w:szCs w:val="18"/>
        </w:rPr>
        <w:t>of $82,160.</w:t>
      </w:r>
      <w:r w:rsidRPr="005F68CB">
        <w:rPr>
          <w:rStyle w:val="EndnoteReference"/>
          <w:sz w:val="18"/>
          <w:szCs w:val="18"/>
        </w:rPr>
        <w:endnoteReference w:id="52"/>
      </w:r>
    </w:p>
    <w:p w:rsidR="005F68CB" w:rsidRDefault="005F68CB" w:rsidP="005F68CB">
      <w:pPr>
        <w:pStyle w:val="IntenseQuote"/>
        <w:pBdr>
          <w:bottom w:val="none" w:sz="0" w:space="0" w:color="auto"/>
        </w:pBdr>
        <w:rPr>
          <w:b w:val="0"/>
          <w:bCs w:val="0"/>
          <w:i w:val="0"/>
          <w:iCs w:val="0"/>
          <w:color w:val="auto"/>
          <w:sz w:val="2"/>
        </w:rPr>
      </w:pPr>
    </w:p>
    <w:p w:rsidR="00A3035D" w:rsidRPr="00A3035D" w:rsidRDefault="00A3035D" w:rsidP="00A3035D"/>
    <w:p w:rsidR="007C2514" w:rsidRPr="00896256" w:rsidRDefault="00BE119F" w:rsidP="005F68CB">
      <w:pPr>
        <w:rPr>
          <w:rFonts w:ascii="Verdana" w:hAnsi="Verdana"/>
          <w:b/>
          <w:i/>
          <w:color w:val="1F497D" w:themeColor="text2"/>
          <w:sz w:val="4"/>
          <w:szCs w:val="4"/>
        </w:rPr>
      </w:pPr>
      <w:r w:rsidRPr="00896256">
        <w:rPr>
          <w:rFonts w:ascii="Verdana" w:hAnsi="Verdana"/>
          <w:b/>
          <w:i/>
          <w:color w:val="1F497D" w:themeColor="text2"/>
        </w:rPr>
        <w:lastRenderedPageBreak/>
        <w:t>Challenges Ahead</w:t>
      </w:r>
      <w:r w:rsidR="007C2514" w:rsidRPr="00896256">
        <w:rPr>
          <w:rFonts w:ascii="Verdana" w:hAnsi="Verdana"/>
          <w:b/>
          <w:i/>
          <w:color w:val="1F497D" w:themeColor="text2"/>
        </w:rPr>
        <w:t xml:space="preserve"> </w:t>
      </w:r>
    </w:p>
    <w:p w:rsidR="005F68CB" w:rsidRPr="005F68CB" w:rsidRDefault="005F68CB" w:rsidP="005F68CB">
      <w:pPr>
        <w:rPr>
          <w:b/>
          <w:i/>
          <w:sz w:val="4"/>
          <w:szCs w:val="4"/>
        </w:rPr>
      </w:pPr>
    </w:p>
    <w:p w:rsidR="00C33647" w:rsidRPr="005F68CB" w:rsidRDefault="00C33647" w:rsidP="00C33647">
      <w:pPr>
        <w:rPr>
          <w:sz w:val="18"/>
          <w:szCs w:val="18"/>
        </w:rPr>
      </w:pPr>
      <w:r w:rsidRPr="005F68CB">
        <w:rPr>
          <w:sz w:val="18"/>
          <w:szCs w:val="18"/>
        </w:rPr>
        <w:t>With a diverse industry base and a well-educated workforce the region is well positioned to thrive over the next decade. However, there are significant challenges facing policy makers, educators and workforce development organizations. Actions must be taken to:</w:t>
      </w:r>
    </w:p>
    <w:p w:rsidR="00C33647" w:rsidRPr="005F68CB" w:rsidRDefault="00C33647" w:rsidP="00BE119F">
      <w:pPr>
        <w:pStyle w:val="ListParagraph"/>
        <w:numPr>
          <w:ilvl w:val="0"/>
          <w:numId w:val="11"/>
        </w:numPr>
        <w:rPr>
          <w:sz w:val="18"/>
          <w:szCs w:val="18"/>
        </w:rPr>
      </w:pPr>
      <w:r w:rsidRPr="005F68CB">
        <w:rPr>
          <w:sz w:val="18"/>
          <w:szCs w:val="18"/>
        </w:rPr>
        <w:t>Ensure that there are an adequate number of people in the workforce by supporting the growth of jobs that are attractive and accessible to people who left the workforce during the recession</w:t>
      </w:r>
      <w:r w:rsidR="00876F34" w:rsidRPr="005F68CB">
        <w:rPr>
          <w:sz w:val="18"/>
          <w:szCs w:val="18"/>
        </w:rPr>
        <w:t xml:space="preserve"> and maximize the potential of the immigrant population</w:t>
      </w:r>
    </w:p>
    <w:p w:rsidR="00BE119F" w:rsidRPr="005F68CB" w:rsidRDefault="00BE119F" w:rsidP="00BE119F">
      <w:pPr>
        <w:pStyle w:val="ListParagraph"/>
        <w:rPr>
          <w:sz w:val="18"/>
          <w:szCs w:val="18"/>
        </w:rPr>
      </w:pPr>
    </w:p>
    <w:p w:rsidR="00BE119F" w:rsidRPr="005F68CB" w:rsidRDefault="00C33647" w:rsidP="00BE119F">
      <w:pPr>
        <w:pStyle w:val="ListParagraph"/>
        <w:numPr>
          <w:ilvl w:val="0"/>
          <w:numId w:val="11"/>
        </w:numPr>
        <w:rPr>
          <w:sz w:val="18"/>
          <w:szCs w:val="18"/>
        </w:rPr>
      </w:pPr>
      <w:r w:rsidRPr="005F68CB">
        <w:rPr>
          <w:sz w:val="18"/>
          <w:szCs w:val="18"/>
        </w:rPr>
        <w:t>Create a job-driven education and tra</w:t>
      </w:r>
      <w:r w:rsidR="00876F34" w:rsidRPr="005F68CB">
        <w:rPr>
          <w:sz w:val="18"/>
          <w:szCs w:val="18"/>
        </w:rPr>
        <w:t xml:space="preserve">ining system that re-skills those who are currently </w:t>
      </w:r>
      <w:r w:rsidRPr="005F68CB">
        <w:rPr>
          <w:sz w:val="18"/>
          <w:szCs w:val="18"/>
        </w:rPr>
        <w:t>unemployed</w:t>
      </w:r>
      <w:r w:rsidR="00876F34" w:rsidRPr="005F68CB">
        <w:rPr>
          <w:sz w:val="18"/>
          <w:szCs w:val="18"/>
        </w:rPr>
        <w:t xml:space="preserve"> and prepares the workforce of the future by strengthening working relationships between business, industry and education at all levels</w:t>
      </w:r>
    </w:p>
    <w:p w:rsidR="007C2514" w:rsidRPr="005F68CB" w:rsidRDefault="006A7C71" w:rsidP="00BE119F">
      <w:pPr>
        <w:pStyle w:val="NoSpacing"/>
        <w:numPr>
          <w:ilvl w:val="0"/>
          <w:numId w:val="11"/>
        </w:numPr>
        <w:spacing w:line="276" w:lineRule="auto"/>
        <w:rPr>
          <w:sz w:val="18"/>
          <w:szCs w:val="18"/>
        </w:rPr>
      </w:pPr>
      <w:r w:rsidRPr="005F68CB">
        <w:rPr>
          <w:sz w:val="18"/>
          <w:szCs w:val="18"/>
        </w:rPr>
        <w:t xml:space="preserve">Dramatically expand opportunities for </w:t>
      </w:r>
      <w:r w:rsidR="00BE119F" w:rsidRPr="005F68CB">
        <w:rPr>
          <w:sz w:val="18"/>
          <w:szCs w:val="18"/>
        </w:rPr>
        <w:t xml:space="preserve">all </w:t>
      </w:r>
      <w:r w:rsidRPr="005F68CB">
        <w:rPr>
          <w:sz w:val="18"/>
          <w:szCs w:val="18"/>
        </w:rPr>
        <w:t xml:space="preserve">young people </w:t>
      </w:r>
      <w:r w:rsidR="00BE119F" w:rsidRPr="005F68CB">
        <w:rPr>
          <w:sz w:val="18"/>
          <w:szCs w:val="18"/>
        </w:rPr>
        <w:t>to work and learn through co-op programs, internships and paid work</w:t>
      </w:r>
    </w:p>
    <w:p w:rsidR="0006090B" w:rsidRDefault="00595CE6" w:rsidP="00595CE6">
      <w:pPr>
        <w:tabs>
          <w:tab w:val="left" w:pos="2676"/>
        </w:tabs>
        <w:spacing w:before="240"/>
        <w:rPr>
          <w:rFonts w:asciiTheme="minorHAnsi" w:hAnsiTheme="minorHAnsi"/>
          <w:sz w:val="18"/>
          <w:szCs w:val="18"/>
        </w:rPr>
      </w:pPr>
      <w:r>
        <w:rPr>
          <w:rFonts w:asciiTheme="minorHAnsi" w:hAnsiTheme="minorHAnsi"/>
          <w:sz w:val="18"/>
          <w:szCs w:val="18"/>
        </w:rPr>
        <w:softHyphen/>
      </w:r>
      <w:r>
        <w:rPr>
          <w:rFonts w:asciiTheme="minorHAnsi" w:hAnsiTheme="minorHAnsi"/>
          <w:sz w:val="18"/>
          <w:szCs w:val="18"/>
        </w:rPr>
        <w:softHyphen/>
      </w:r>
      <w:r>
        <w:rPr>
          <w:rFonts w:asciiTheme="minorHAnsi" w:hAnsiTheme="minorHAnsi"/>
          <w:sz w:val="18"/>
          <w:szCs w:val="18"/>
        </w:rPr>
        <w:softHyphen/>
      </w: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Default="00C850A1" w:rsidP="00595CE6">
      <w:pPr>
        <w:tabs>
          <w:tab w:val="left" w:pos="2676"/>
        </w:tabs>
        <w:spacing w:before="240"/>
        <w:rPr>
          <w:rFonts w:asciiTheme="minorHAnsi" w:hAnsiTheme="minorHAnsi"/>
          <w:sz w:val="18"/>
          <w:szCs w:val="18"/>
        </w:rPr>
      </w:pPr>
    </w:p>
    <w:p w:rsidR="00C850A1" w:rsidRPr="005F68CB" w:rsidRDefault="00C850A1" w:rsidP="00595CE6">
      <w:pPr>
        <w:tabs>
          <w:tab w:val="left" w:pos="2676"/>
        </w:tabs>
        <w:spacing w:before="240"/>
      </w:pPr>
    </w:p>
    <w:sectPr w:rsidR="00C850A1" w:rsidRPr="005F68CB" w:rsidSect="00F76A48">
      <w:footnotePr>
        <w:numFmt w:val="lowerRoman"/>
      </w:footnotePr>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D88" w:rsidRDefault="00F52D88" w:rsidP="00371F7A">
      <w:r>
        <w:separator/>
      </w:r>
    </w:p>
  </w:endnote>
  <w:endnote w:type="continuationSeparator" w:id="0">
    <w:p w:rsidR="00F52D88" w:rsidRPr="00A23BC0" w:rsidRDefault="00F52D88" w:rsidP="00A23BC0">
      <w:pPr>
        <w:pStyle w:val="Footer"/>
      </w:pPr>
    </w:p>
  </w:endnote>
  <w:endnote w:id="1">
    <w:p w:rsidR="00FB0B6D" w:rsidRDefault="00FB0B6D" w:rsidP="00371F7A">
      <w:pPr>
        <w:pStyle w:val="EndnoteText"/>
      </w:pPr>
      <w:r>
        <w:rPr>
          <w:rStyle w:val="EndnoteReference"/>
        </w:rPr>
        <w:endnoteRef/>
      </w:r>
      <w:r>
        <w:t xml:space="preserve"> Clifford, Robert. </w:t>
      </w:r>
      <w:proofErr w:type="gramStart"/>
      <w:r>
        <w:t>Labor Market Trends in the Metro South/West Region.</w:t>
      </w:r>
      <w:proofErr w:type="gramEnd"/>
      <w:r>
        <w:t xml:space="preserve"> </w:t>
      </w:r>
      <w:proofErr w:type="gramStart"/>
      <w:r>
        <w:t>Commonwealth Corporation and the New England Public Policy Center of the Federal Reserve Bank of Boston.</w:t>
      </w:r>
      <w:proofErr w:type="gramEnd"/>
      <w:r>
        <w:t xml:space="preserve"> Boston, MA. June 2012. </w:t>
      </w:r>
      <w:proofErr w:type="gramStart"/>
      <w:r>
        <w:t>p. 21.</w:t>
      </w:r>
      <w:proofErr w:type="gramEnd"/>
    </w:p>
  </w:endnote>
  <w:endnote w:id="2">
    <w:p w:rsidR="00FB0B6D" w:rsidRDefault="00FB0B6D" w:rsidP="00371F7A">
      <w:pPr>
        <w:pStyle w:val="EndnoteText"/>
      </w:pPr>
      <w:r>
        <w:rPr>
          <w:rStyle w:val="EndnoteReference"/>
        </w:rPr>
        <w:endnoteRef/>
      </w:r>
      <w:r>
        <w:t xml:space="preserve"> </w:t>
      </w:r>
      <w:proofErr w:type="gramStart"/>
      <w:r>
        <w:t>Clifford, 21.</w:t>
      </w:r>
      <w:proofErr w:type="gramEnd"/>
    </w:p>
  </w:endnote>
  <w:endnote w:id="3">
    <w:p w:rsidR="00FB0B6D" w:rsidRDefault="00FB0B6D" w:rsidP="00371F7A">
      <w:pPr>
        <w:pStyle w:val="EndnoteText"/>
      </w:pPr>
      <w:r>
        <w:rPr>
          <w:rStyle w:val="EndnoteReference"/>
        </w:rPr>
        <w:endnoteRef/>
      </w:r>
      <w:r>
        <w:t xml:space="preserve"> </w:t>
      </w:r>
      <w:proofErr w:type="gramStart"/>
      <w:r>
        <w:t>Massachusetts Executive Office of Labor and Workforce Development (EOLWD).</w:t>
      </w:r>
      <w:proofErr w:type="gramEnd"/>
    </w:p>
  </w:endnote>
  <w:endnote w:id="4">
    <w:p w:rsidR="00FB0B6D" w:rsidRDefault="00FB0B6D" w:rsidP="00371F7A">
      <w:pPr>
        <w:pStyle w:val="EndnoteText"/>
      </w:pPr>
      <w:r>
        <w:rPr>
          <w:rStyle w:val="EndnoteReference"/>
        </w:rPr>
        <w:endnoteRef/>
      </w:r>
      <w:r>
        <w:t xml:space="preserve"> </w:t>
      </w:r>
      <w:proofErr w:type="gramStart"/>
      <w:r>
        <w:t>Clifford, 39.</w:t>
      </w:r>
      <w:proofErr w:type="gramEnd"/>
    </w:p>
  </w:endnote>
  <w:endnote w:id="5">
    <w:p w:rsidR="00FB0B6D" w:rsidRDefault="00FB0B6D" w:rsidP="00371F7A">
      <w:pPr>
        <w:pStyle w:val="EndnoteText"/>
      </w:pPr>
      <w:r>
        <w:rPr>
          <w:rStyle w:val="EndnoteReference"/>
        </w:rPr>
        <w:endnoteRef/>
      </w:r>
      <w:r>
        <w:t xml:space="preserve"> </w:t>
      </w:r>
      <w:proofErr w:type="gramStart"/>
      <w:r>
        <w:t>Clifford, 40.</w:t>
      </w:r>
      <w:proofErr w:type="gramEnd"/>
    </w:p>
  </w:endnote>
  <w:endnote w:id="6">
    <w:p w:rsidR="00FB0B6D" w:rsidRDefault="00FB0B6D" w:rsidP="00371F7A">
      <w:pPr>
        <w:pStyle w:val="EndnoteText"/>
      </w:pPr>
      <w:r>
        <w:rPr>
          <w:rStyle w:val="EndnoteReference"/>
        </w:rPr>
        <w:endnoteRef/>
      </w:r>
      <w:r>
        <w:t xml:space="preserve"> </w:t>
      </w:r>
      <w:proofErr w:type="gramStart"/>
      <w:r>
        <w:t>Clifford, 17.</w:t>
      </w:r>
      <w:proofErr w:type="gramEnd"/>
    </w:p>
  </w:endnote>
  <w:endnote w:id="7">
    <w:p w:rsidR="00FB0B6D" w:rsidRDefault="00FB0B6D" w:rsidP="00371F7A">
      <w:pPr>
        <w:pStyle w:val="EndnoteText"/>
      </w:pPr>
      <w:r>
        <w:rPr>
          <w:rStyle w:val="EndnoteReference"/>
        </w:rPr>
        <w:endnoteRef/>
      </w:r>
      <w:r>
        <w:t xml:space="preserve"> </w:t>
      </w:r>
      <w:proofErr w:type="gramStart"/>
      <w:r>
        <w:t>EOLWD.</w:t>
      </w:r>
      <w:proofErr w:type="gramEnd"/>
    </w:p>
  </w:endnote>
  <w:endnote w:id="8">
    <w:p w:rsidR="00FB0B6D" w:rsidRDefault="00FB0B6D" w:rsidP="00371F7A">
      <w:pPr>
        <w:pStyle w:val="EndnoteText"/>
      </w:pPr>
      <w:r>
        <w:rPr>
          <w:rStyle w:val="EndnoteReference"/>
        </w:rPr>
        <w:endnoteRef/>
      </w:r>
      <w:r>
        <w:t xml:space="preserve"> EOLWD</w:t>
      </w:r>
    </w:p>
  </w:endnote>
  <w:endnote w:id="9">
    <w:p w:rsidR="00FB0B6D" w:rsidRDefault="00FB0B6D" w:rsidP="00371F7A">
      <w:pPr>
        <w:pStyle w:val="EndnoteText"/>
      </w:pPr>
      <w:r>
        <w:rPr>
          <w:rStyle w:val="EndnoteReference"/>
        </w:rPr>
        <w:endnoteRef/>
      </w:r>
      <w:r>
        <w:t xml:space="preserve"> </w:t>
      </w:r>
      <w:proofErr w:type="gramStart"/>
      <w:r>
        <w:t>Bureau of Labor Statistics, US Department of Labor.</w:t>
      </w:r>
      <w:proofErr w:type="gramEnd"/>
      <w:r>
        <w:t xml:space="preserve"> </w:t>
      </w:r>
      <w:proofErr w:type="gramStart"/>
      <w:r>
        <w:t>Economic News Release.</w:t>
      </w:r>
      <w:proofErr w:type="gramEnd"/>
      <w:r>
        <w:t xml:space="preserve"> </w:t>
      </w:r>
      <w:proofErr w:type="gramStart"/>
      <w:r>
        <w:t>Unemployed persons by duration of unemployment.</w:t>
      </w:r>
      <w:proofErr w:type="gramEnd"/>
      <w:r>
        <w:t xml:space="preserve"> July 2013.</w:t>
      </w:r>
    </w:p>
  </w:endnote>
  <w:endnote w:id="10">
    <w:p w:rsidR="00FB0B6D" w:rsidRDefault="00FB0B6D" w:rsidP="00371F7A">
      <w:pPr>
        <w:pStyle w:val="EndnoteText"/>
      </w:pPr>
      <w:r>
        <w:rPr>
          <w:rStyle w:val="EndnoteReference"/>
        </w:rPr>
        <w:endnoteRef/>
      </w:r>
      <w:r>
        <w:t xml:space="preserve"> Clifford, 19</w:t>
      </w:r>
    </w:p>
  </w:endnote>
  <w:endnote w:id="11">
    <w:p w:rsidR="00FB0B6D" w:rsidRDefault="00FB0B6D" w:rsidP="00371F7A">
      <w:pPr>
        <w:pStyle w:val="EndnoteText"/>
      </w:pPr>
      <w:r>
        <w:rPr>
          <w:rStyle w:val="EndnoteReference"/>
        </w:rPr>
        <w:endnoteRef/>
      </w:r>
      <w:r>
        <w:t xml:space="preserve"> </w:t>
      </w:r>
      <w:proofErr w:type="gramStart"/>
      <w:r>
        <w:t>Clifford, 18.</w:t>
      </w:r>
      <w:proofErr w:type="gramEnd"/>
    </w:p>
  </w:endnote>
  <w:endnote w:id="12">
    <w:p w:rsidR="00FB0B6D" w:rsidRDefault="00FB0B6D" w:rsidP="00371F7A">
      <w:pPr>
        <w:pStyle w:val="EndnoteText"/>
      </w:pPr>
      <w:r>
        <w:rPr>
          <w:rStyle w:val="EndnoteReference"/>
        </w:rPr>
        <w:endnoteRef/>
      </w:r>
      <w:r>
        <w:t xml:space="preserve"> </w:t>
      </w:r>
      <w:proofErr w:type="gramStart"/>
      <w:r>
        <w:t>Clifford, 8.</w:t>
      </w:r>
      <w:proofErr w:type="gramEnd"/>
    </w:p>
  </w:endnote>
  <w:endnote w:id="13">
    <w:p w:rsidR="00FB0B6D" w:rsidRDefault="00FB0B6D" w:rsidP="00371F7A">
      <w:pPr>
        <w:pStyle w:val="EndnoteText"/>
      </w:pPr>
      <w:r>
        <w:rPr>
          <w:rStyle w:val="EndnoteReference"/>
        </w:rPr>
        <w:endnoteRef/>
      </w:r>
      <w:r>
        <w:t xml:space="preserve"> Clifford, 8–9.</w:t>
      </w:r>
    </w:p>
  </w:endnote>
  <w:endnote w:id="14">
    <w:p w:rsidR="00FB0B6D" w:rsidRDefault="00FB0B6D" w:rsidP="00371F7A">
      <w:pPr>
        <w:pStyle w:val="EndnoteText"/>
      </w:pPr>
      <w:r>
        <w:rPr>
          <w:rStyle w:val="EndnoteReference"/>
        </w:rPr>
        <w:endnoteRef/>
      </w:r>
      <w:r>
        <w:t xml:space="preserve"> </w:t>
      </w:r>
      <w:proofErr w:type="gramStart"/>
      <w:r>
        <w:t>Clifford, 9.</w:t>
      </w:r>
      <w:proofErr w:type="gramEnd"/>
    </w:p>
  </w:endnote>
  <w:endnote w:id="15">
    <w:p w:rsidR="00FB0B6D" w:rsidRDefault="00FB0B6D" w:rsidP="00371F7A">
      <w:pPr>
        <w:pStyle w:val="EndnoteText"/>
      </w:pPr>
      <w:r>
        <w:rPr>
          <w:rStyle w:val="EndnoteReference"/>
        </w:rPr>
        <w:endnoteRef/>
      </w:r>
      <w:r>
        <w:t xml:space="preserve"> </w:t>
      </w:r>
      <w:proofErr w:type="gramStart"/>
      <w:r>
        <w:t>Clifford, 10.</w:t>
      </w:r>
      <w:proofErr w:type="gramEnd"/>
    </w:p>
  </w:endnote>
  <w:endnote w:id="16">
    <w:p w:rsidR="00FB0B6D" w:rsidRDefault="00FB0B6D" w:rsidP="00371F7A">
      <w:pPr>
        <w:pStyle w:val="EndnoteText"/>
      </w:pPr>
      <w:r>
        <w:rPr>
          <w:rStyle w:val="EndnoteReference"/>
        </w:rPr>
        <w:endnoteRef/>
      </w:r>
      <w:r>
        <w:t xml:space="preserve"> </w:t>
      </w:r>
      <w:proofErr w:type="gramStart"/>
      <w:r>
        <w:t>Clifford, 9.</w:t>
      </w:r>
      <w:proofErr w:type="gramEnd"/>
    </w:p>
  </w:endnote>
  <w:endnote w:id="17">
    <w:p w:rsidR="00FB0B6D" w:rsidRDefault="00FB0B6D" w:rsidP="00371F7A">
      <w:pPr>
        <w:pStyle w:val="EndnoteText"/>
      </w:pPr>
      <w:r>
        <w:rPr>
          <w:rStyle w:val="EndnoteReference"/>
        </w:rPr>
        <w:endnoteRef/>
      </w:r>
      <w:r>
        <w:t xml:space="preserve"> </w:t>
      </w:r>
      <w:proofErr w:type="gramStart"/>
      <w:r>
        <w:t>US Census Bureau.</w:t>
      </w:r>
      <w:proofErr w:type="gramEnd"/>
      <w:r>
        <w:t xml:space="preserve"> </w:t>
      </w:r>
      <w:proofErr w:type="gramStart"/>
      <w:r>
        <w:t>Quick Facts.</w:t>
      </w:r>
      <w:proofErr w:type="gramEnd"/>
      <w:r>
        <w:t xml:space="preserve"> 2011.</w:t>
      </w:r>
    </w:p>
  </w:endnote>
  <w:endnote w:id="18">
    <w:p w:rsidR="00FB0B6D" w:rsidRDefault="00FB0B6D" w:rsidP="00371F7A">
      <w:pPr>
        <w:pStyle w:val="EndnoteText"/>
      </w:pPr>
      <w:r>
        <w:rPr>
          <w:rStyle w:val="EndnoteReference"/>
        </w:rPr>
        <w:endnoteRef/>
      </w:r>
      <w:r>
        <w:t xml:space="preserve"> </w:t>
      </w:r>
      <w:proofErr w:type="gramStart"/>
      <w:r>
        <w:t>US Census Bureau, Quick Facts.</w:t>
      </w:r>
      <w:proofErr w:type="gramEnd"/>
      <w:r>
        <w:t xml:space="preserve"> 2011.</w:t>
      </w:r>
    </w:p>
  </w:endnote>
  <w:endnote w:id="19">
    <w:p w:rsidR="00FB0B6D" w:rsidRDefault="00FB0B6D" w:rsidP="00371F7A">
      <w:pPr>
        <w:pStyle w:val="EndnoteText"/>
      </w:pPr>
      <w:r>
        <w:rPr>
          <w:rStyle w:val="EndnoteReference"/>
        </w:rPr>
        <w:endnoteRef/>
      </w:r>
      <w:r>
        <w:t xml:space="preserve"> </w:t>
      </w:r>
      <w:proofErr w:type="gramStart"/>
      <w:r>
        <w:t>US Census Bureau.</w:t>
      </w:r>
      <w:proofErr w:type="gramEnd"/>
      <w:r>
        <w:t xml:space="preserve"> </w:t>
      </w:r>
      <w:proofErr w:type="gramStart"/>
      <w:r>
        <w:t>Quick Facts.</w:t>
      </w:r>
      <w:proofErr w:type="gramEnd"/>
      <w:r>
        <w:t xml:space="preserve"> 2011.</w:t>
      </w:r>
    </w:p>
  </w:endnote>
  <w:endnote w:id="20">
    <w:p w:rsidR="00FB0B6D" w:rsidRDefault="00FB0B6D" w:rsidP="00371F7A">
      <w:pPr>
        <w:pStyle w:val="EndnoteText"/>
      </w:pPr>
      <w:r>
        <w:rPr>
          <w:rStyle w:val="EndnoteReference"/>
        </w:rPr>
        <w:endnoteRef/>
      </w:r>
      <w:r>
        <w:t xml:space="preserve"> Clifford, 21</w:t>
      </w:r>
    </w:p>
  </w:endnote>
  <w:endnote w:id="21">
    <w:p w:rsidR="00FB0B6D" w:rsidRDefault="00FB0B6D" w:rsidP="004F0CAE">
      <w:pPr>
        <w:pStyle w:val="EndnoteText"/>
      </w:pPr>
      <w:r>
        <w:rPr>
          <w:rStyle w:val="EndnoteReference"/>
        </w:rPr>
        <w:endnoteRef/>
      </w:r>
      <w:r>
        <w:t xml:space="preserve"> </w:t>
      </w:r>
      <w:proofErr w:type="gramStart"/>
      <w:r>
        <w:t>EOLWD.</w:t>
      </w:r>
      <w:proofErr w:type="gramEnd"/>
      <w:r>
        <w:t xml:space="preserve"> </w:t>
      </w:r>
      <w:proofErr w:type="gramStart"/>
      <w:r>
        <w:t>Annual Profile for Metro South/West Workforce Area.</w:t>
      </w:r>
      <w:proofErr w:type="gramEnd"/>
      <w:r>
        <w:t xml:space="preserve"> May 2010.</w:t>
      </w:r>
    </w:p>
  </w:endnote>
  <w:endnote w:id="22">
    <w:p w:rsidR="00FB0B6D" w:rsidRDefault="00FB0B6D" w:rsidP="00371F7A">
      <w:pPr>
        <w:pStyle w:val="EndnoteText"/>
      </w:pPr>
      <w:r>
        <w:rPr>
          <w:rStyle w:val="EndnoteReference"/>
        </w:rPr>
        <w:endnoteRef/>
      </w:r>
      <w:r>
        <w:t xml:space="preserve"> Clifford, 20</w:t>
      </w:r>
    </w:p>
  </w:endnote>
  <w:endnote w:id="23">
    <w:p w:rsidR="00FB0B6D" w:rsidRDefault="00FB0B6D" w:rsidP="00371F7A">
      <w:pPr>
        <w:pStyle w:val="EndnoteText"/>
      </w:pPr>
      <w:r>
        <w:rPr>
          <w:rStyle w:val="EndnoteReference"/>
        </w:rPr>
        <w:endnoteRef/>
      </w:r>
      <w:r>
        <w:t xml:space="preserve"> </w:t>
      </w:r>
      <w:proofErr w:type="gramStart"/>
      <w:r>
        <w:t>Clifford, 11.</w:t>
      </w:r>
      <w:proofErr w:type="gramEnd"/>
    </w:p>
  </w:endnote>
  <w:endnote w:id="24">
    <w:p w:rsidR="00FB0B6D" w:rsidRDefault="00FB0B6D" w:rsidP="00371F7A">
      <w:pPr>
        <w:pStyle w:val="EndnoteText"/>
      </w:pPr>
      <w:r>
        <w:rPr>
          <w:rStyle w:val="EndnoteReference"/>
        </w:rPr>
        <w:endnoteRef/>
      </w:r>
      <w:r>
        <w:t xml:space="preserve"> </w:t>
      </w:r>
      <w:proofErr w:type="gramStart"/>
      <w:r>
        <w:t>Clifford, 18.</w:t>
      </w:r>
      <w:proofErr w:type="gramEnd"/>
    </w:p>
  </w:endnote>
  <w:endnote w:id="25">
    <w:p w:rsidR="00FB0B6D" w:rsidRDefault="00FB0B6D" w:rsidP="00371F7A">
      <w:pPr>
        <w:pStyle w:val="EndnoteText"/>
      </w:pPr>
      <w:r>
        <w:rPr>
          <w:rStyle w:val="EndnoteReference"/>
        </w:rPr>
        <w:endnoteRef/>
      </w:r>
      <w:r>
        <w:t xml:space="preserve"> </w:t>
      </w:r>
      <w:proofErr w:type="gramStart"/>
      <w:r>
        <w:t>Clifford, 9.</w:t>
      </w:r>
      <w:proofErr w:type="gramEnd"/>
    </w:p>
  </w:endnote>
  <w:endnote w:id="26">
    <w:p w:rsidR="00FB0B6D" w:rsidRDefault="00FB0B6D" w:rsidP="00371F7A">
      <w:pPr>
        <w:pStyle w:val="EndnoteText"/>
      </w:pPr>
      <w:r>
        <w:rPr>
          <w:rStyle w:val="EndnoteReference"/>
        </w:rPr>
        <w:endnoteRef/>
      </w:r>
      <w:r>
        <w:t xml:space="preserve"> </w:t>
      </w:r>
      <w:proofErr w:type="gramStart"/>
      <w:r>
        <w:t>Clifford, 15.</w:t>
      </w:r>
      <w:proofErr w:type="gramEnd"/>
    </w:p>
  </w:endnote>
  <w:endnote w:id="27">
    <w:p w:rsidR="00FB0B6D" w:rsidRDefault="00FB0B6D" w:rsidP="00371F7A">
      <w:pPr>
        <w:pStyle w:val="EndnoteText"/>
      </w:pPr>
      <w:r>
        <w:rPr>
          <w:rStyle w:val="EndnoteReference"/>
        </w:rPr>
        <w:endnoteRef/>
      </w:r>
      <w:r>
        <w:t xml:space="preserve"> </w:t>
      </w:r>
      <w:proofErr w:type="gramStart"/>
      <w:r>
        <w:t>Clifford, 15.</w:t>
      </w:r>
      <w:proofErr w:type="gramEnd"/>
    </w:p>
  </w:endnote>
  <w:endnote w:id="28">
    <w:p w:rsidR="00FB0B6D" w:rsidRDefault="00FB0B6D" w:rsidP="00371F7A">
      <w:pPr>
        <w:pStyle w:val="EndnoteText"/>
      </w:pPr>
      <w:r>
        <w:rPr>
          <w:rStyle w:val="EndnoteReference"/>
        </w:rPr>
        <w:endnoteRef/>
      </w:r>
      <w:r>
        <w:t xml:space="preserve"> </w:t>
      </w:r>
      <w:proofErr w:type="gramStart"/>
      <w:r>
        <w:t>Clifford, 15.</w:t>
      </w:r>
      <w:proofErr w:type="gramEnd"/>
    </w:p>
  </w:endnote>
  <w:endnote w:id="29">
    <w:p w:rsidR="00FB0B6D" w:rsidRDefault="00FB0B6D" w:rsidP="00371F7A">
      <w:pPr>
        <w:pStyle w:val="EndnoteText"/>
      </w:pPr>
      <w:r>
        <w:rPr>
          <w:rStyle w:val="EndnoteReference"/>
        </w:rPr>
        <w:endnoteRef/>
      </w:r>
      <w:r>
        <w:t xml:space="preserve"> </w:t>
      </w:r>
      <w:proofErr w:type="gramStart"/>
      <w:r>
        <w:t>Clifford, 15.</w:t>
      </w:r>
      <w:proofErr w:type="gramEnd"/>
    </w:p>
  </w:endnote>
  <w:endnote w:id="30">
    <w:p w:rsidR="00FB0B6D" w:rsidRDefault="00FB0B6D" w:rsidP="00371F7A">
      <w:pPr>
        <w:pStyle w:val="EndnoteText"/>
      </w:pPr>
      <w:r>
        <w:rPr>
          <w:rStyle w:val="EndnoteReference"/>
        </w:rPr>
        <w:endnoteRef/>
      </w:r>
      <w:r>
        <w:t xml:space="preserve"> </w:t>
      </w:r>
      <w:proofErr w:type="gramStart"/>
      <w:r>
        <w:t>Clifford, 16.</w:t>
      </w:r>
      <w:proofErr w:type="gramEnd"/>
      <w:r>
        <w:t xml:space="preserve"> </w:t>
      </w:r>
    </w:p>
  </w:endnote>
  <w:endnote w:id="31">
    <w:p w:rsidR="00FB0B6D" w:rsidRDefault="00FB0B6D" w:rsidP="00371F7A">
      <w:pPr>
        <w:pStyle w:val="EndnoteText"/>
      </w:pPr>
      <w:r>
        <w:rPr>
          <w:rStyle w:val="EndnoteReference"/>
        </w:rPr>
        <w:endnoteRef/>
      </w:r>
      <w:r>
        <w:t xml:space="preserve"> </w:t>
      </w:r>
      <w:proofErr w:type="gramStart"/>
      <w:r>
        <w:t>Wikipedia.</w:t>
      </w:r>
      <w:proofErr w:type="gramEnd"/>
      <w:r>
        <w:t xml:space="preserve"> </w:t>
      </w:r>
      <w:proofErr w:type="gramStart"/>
      <w:r>
        <w:t>List of colleges and universities in metropolitan Boston.</w:t>
      </w:r>
      <w:proofErr w:type="gramEnd"/>
    </w:p>
  </w:endnote>
  <w:endnote w:id="32">
    <w:p w:rsidR="00FB0B6D" w:rsidRDefault="00FB0B6D" w:rsidP="00371F7A">
      <w:pPr>
        <w:pStyle w:val="EndnoteText"/>
      </w:pPr>
      <w:r>
        <w:rPr>
          <w:rStyle w:val="EndnoteReference"/>
        </w:rPr>
        <w:endnoteRef/>
      </w:r>
      <w:r>
        <w:t xml:space="preserve"> </w:t>
      </w:r>
      <w:proofErr w:type="gramStart"/>
      <w:r>
        <w:t>EOLWD.</w:t>
      </w:r>
      <w:proofErr w:type="gramEnd"/>
    </w:p>
  </w:endnote>
  <w:endnote w:id="33">
    <w:p w:rsidR="00FB0B6D" w:rsidRDefault="00FB0B6D" w:rsidP="00D47BE2">
      <w:pPr>
        <w:pStyle w:val="EndnoteText"/>
      </w:pPr>
      <w:r>
        <w:rPr>
          <w:rStyle w:val="EndnoteReference"/>
        </w:rPr>
        <w:endnoteRef/>
      </w:r>
      <w:r>
        <w:t xml:space="preserve"> </w:t>
      </w:r>
      <w:proofErr w:type="gramStart"/>
      <w:r>
        <w:t>Clifford, 33.</w:t>
      </w:r>
      <w:proofErr w:type="gramEnd"/>
    </w:p>
  </w:endnote>
  <w:endnote w:id="34">
    <w:p w:rsidR="00FB0B6D" w:rsidRDefault="00FB0B6D" w:rsidP="008A01B6">
      <w:pPr>
        <w:pStyle w:val="EndnoteText"/>
      </w:pPr>
      <w:r>
        <w:rPr>
          <w:rStyle w:val="EndnoteReference"/>
        </w:rPr>
        <w:endnoteRef/>
      </w:r>
      <w:r>
        <w:t xml:space="preserve"> </w:t>
      </w:r>
      <w:proofErr w:type="gramStart"/>
      <w:r>
        <w:t>Blakely and White, 26.</w:t>
      </w:r>
      <w:proofErr w:type="gramEnd"/>
    </w:p>
  </w:endnote>
  <w:endnote w:id="35">
    <w:p w:rsidR="00FB0B6D" w:rsidRDefault="00FB0B6D" w:rsidP="00371F7A">
      <w:pPr>
        <w:pStyle w:val="EndnoteText"/>
      </w:pPr>
      <w:r>
        <w:rPr>
          <w:rStyle w:val="EndnoteReference"/>
        </w:rPr>
        <w:endnoteRef/>
      </w:r>
      <w:r>
        <w:t xml:space="preserve"> Blakely and White, 27-31.</w:t>
      </w:r>
    </w:p>
  </w:endnote>
  <w:endnote w:id="36">
    <w:p w:rsidR="00FB0B6D" w:rsidRDefault="00FB0B6D">
      <w:pPr>
        <w:pStyle w:val="EndnoteText"/>
      </w:pPr>
      <w:r>
        <w:rPr>
          <w:rStyle w:val="EndnoteReference"/>
        </w:rPr>
        <w:endnoteRef/>
      </w:r>
      <w:r>
        <w:t xml:space="preserve"> </w:t>
      </w:r>
      <w:proofErr w:type="gramStart"/>
      <w:r>
        <w:t>Deloitte Consulting LLP.</w:t>
      </w:r>
      <w:proofErr w:type="gramEnd"/>
      <w:r>
        <w:t xml:space="preserve"> Reexamining advanced manufacturing in a networked world: Prospects for </w:t>
      </w:r>
      <w:proofErr w:type="gramStart"/>
      <w:r>
        <w:t>a resurgence</w:t>
      </w:r>
      <w:proofErr w:type="gramEnd"/>
      <w:r>
        <w:t xml:space="preserve"> in New England.  </w:t>
      </w:r>
      <w:proofErr w:type="gramStart"/>
      <w:r>
        <w:t>The New England Council.</w:t>
      </w:r>
      <w:proofErr w:type="gramEnd"/>
      <w:r>
        <w:t xml:space="preserve"> December 2009.</w:t>
      </w:r>
    </w:p>
  </w:endnote>
  <w:endnote w:id="37">
    <w:p w:rsidR="00FB0B6D" w:rsidRDefault="00FB0B6D" w:rsidP="00371F7A">
      <w:pPr>
        <w:pStyle w:val="EndnoteText"/>
      </w:pPr>
      <w:r>
        <w:rPr>
          <w:rStyle w:val="EndnoteReference"/>
        </w:rPr>
        <w:endnoteRef/>
      </w:r>
      <w:r>
        <w:t xml:space="preserve"> </w:t>
      </w:r>
      <w:proofErr w:type="gramStart"/>
      <w:r>
        <w:t>Bluestone.</w:t>
      </w:r>
      <w:proofErr w:type="gramEnd"/>
      <w:r>
        <w:t xml:space="preserve"> 36. Thomas </w:t>
      </w:r>
      <w:proofErr w:type="spellStart"/>
      <w:r>
        <w:t>Hatzichronoglou</w:t>
      </w:r>
      <w:proofErr w:type="spellEnd"/>
      <w:r>
        <w:t>, “Revision of the High-Technology Sector and Product Classification.” Paris: Organization for Economic Cooperation and Development.</w:t>
      </w:r>
    </w:p>
  </w:endnote>
  <w:endnote w:id="38">
    <w:p w:rsidR="00FB0B6D" w:rsidRDefault="00FB0B6D" w:rsidP="00371F7A">
      <w:pPr>
        <w:pStyle w:val="EndnoteText"/>
      </w:pPr>
      <w:r>
        <w:rPr>
          <w:rStyle w:val="EndnoteReference"/>
        </w:rPr>
        <w:endnoteRef/>
      </w:r>
      <w:r>
        <w:t xml:space="preserve"> </w:t>
      </w:r>
      <w:proofErr w:type="gramStart"/>
      <w:r>
        <w:t>EOLWD.</w:t>
      </w:r>
      <w:proofErr w:type="gramEnd"/>
    </w:p>
  </w:endnote>
  <w:endnote w:id="39">
    <w:p w:rsidR="00FB0B6D" w:rsidRDefault="00FB0B6D" w:rsidP="00371F7A">
      <w:pPr>
        <w:pStyle w:val="EndnoteText"/>
      </w:pPr>
      <w:r>
        <w:rPr>
          <w:rStyle w:val="EndnoteReference"/>
        </w:rPr>
        <w:endnoteRef/>
      </w:r>
      <w:r>
        <w:t xml:space="preserve"> </w:t>
      </w:r>
      <w:proofErr w:type="gramStart"/>
      <w:r>
        <w:t>EOLWD.</w:t>
      </w:r>
      <w:proofErr w:type="gramEnd"/>
    </w:p>
  </w:endnote>
  <w:endnote w:id="40">
    <w:p w:rsidR="00FB0B6D" w:rsidRDefault="00FB0B6D" w:rsidP="00371F7A">
      <w:pPr>
        <w:pStyle w:val="EndnoteText"/>
      </w:pPr>
      <w:r>
        <w:rPr>
          <w:rStyle w:val="EndnoteReference"/>
        </w:rPr>
        <w:endnoteRef/>
      </w:r>
      <w:r>
        <w:t xml:space="preserve"> </w:t>
      </w:r>
      <w:proofErr w:type="gramStart"/>
      <w:r>
        <w:t xml:space="preserve">Bluestone, Barry, Anna </w:t>
      </w:r>
      <w:proofErr w:type="spellStart"/>
      <w:r>
        <w:t>Gartsman</w:t>
      </w:r>
      <w:proofErr w:type="spellEnd"/>
      <w:r>
        <w:t xml:space="preserve">, Don Walsh, Russ </w:t>
      </w:r>
      <w:proofErr w:type="spellStart"/>
      <w:r>
        <w:t>Eckel</w:t>
      </w:r>
      <w:proofErr w:type="spellEnd"/>
      <w:r>
        <w:t xml:space="preserve">, and James </w:t>
      </w:r>
      <w:proofErr w:type="spellStart"/>
      <w:r>
        <w:t>Huessy</w:t>
      </w:r>
      <w:proofErr w:type="spellEnd"/>
      <w:r>
        <w:t>.</w:t>
      </w:r>
      <w:proofErr w:type="gramEnd"/>
      <w:r>
        <w:t xml:space="preserve"> Staying Power II: A Report Card on Manufacturing in Massachusetts. </w:t>
      </w:r>
      <w:proofErr w:type="gramStart"/>
      <w:r>
        <w:t>The Kitty and Michael Dukakis Center for Urban and Regional Policy, School of Public Policy and Urban Affairs, Northeastern University.</w:t>
      </w:r>
      <w:proofErr w:type="gramEnd"/>
      <w:r>
        <w:t xml:space="preserve"> Boston, MA. 2012.</w:t>
      </w:r>
    </w:p>
  </w:endnote>
  <w:endnote w:id="41">
    <w:p w:rsidR="00FB0B6D" w:rsidRDefault="00FB0B6D" w:rsidP="00371F7A">
      <w:pPr>
        <w:pStyle w:val="EndnoteText"/>
      </w:pPr>
      <w:r>
        <w:rPr>
          <w:rStyle w:val="EndnoteReference"/>
        </w:rPr>
        <w:endnoteRef/>
      </w:r>
      <w:r>
        <w:t xml:space="preserve"> Beville, Sylvia, Kelley French. </w:t>
      </w:r>
      <w:proofErr w:type="gramStart"/>
      <w:r>
        <w:t>Manufacturing in Metro Southwest.</w:t>
      </w:r>
      <w:proofErr w:type="gramEnd"/>
      <w:r>
        <w:t xml:space="preserve"> </w:t>
      </w:r>
      <w:proofErr w:type="gramStart"/>
      <w:r>
        <w:t>Partnerships for a Skilled Workforce.</w:t>
      </w:r>
      <w:proofErr w:type="gramEnd"/>
      <w:r>
        <w:t xml:space="preserve"> Marlborough, MA. 2013.</w:t>
      </w:r>
    </w:p>
  </w:endnote>
  <w:endnote w:id="42">
    <w:p w:rsidR="00FB0B6D" w:rsidRDefault="00FB0B6D" w:rsidP="00371F7A">
      <w:pPr>
        <w:pStyle w:val="EndnoteText"/>
      </w:pPr>
      <w:r>
        <w:rPr>
          <w:rStyle w:val="EndnoteReference"/>
        </w:rPr>
        <w:endnoteRef/>
      </w:r>
      <w:r>
        <w:t xml:space="preserve"> </w:t>
      </w:r>
      <w:proofErr w:type="gramStart"/>
      <w:r>
        <w:t>Boston Business Journal.</w:t>
      </w:r>
      <w:proofErr w:type="gramEnd"/>
      <w:r>
        <w:t xml:space="preserve"> </w:t>
      </w:r>
      <w:proofErr w:type="gramStart"/>
      <w:r>
        <w:t>August 16022, 2013.</w:t>
      </w:r>
      <w:proofErr w:type="gramEnd"/>
    </w:p>
  </w:endnote>
  <w:endnote w:id="43">
    <w:p w:rsidR="00FB0B6D" w:rsidRDefault="00FB0B6D" w:rsidP="00371F7A">
      <w:pPr>
        <w:pStyle w:val="EndnoteText"/>
      </w:pPr>
      <w:r>
        <w:rPr>
          <w:rStyle w:val="EndnoteReference"/>
        </w:rPr>
        <w:endnoteRef/>
      </w:r>
      <w:r>
        <w:t xml:space="preserve"> </w:t>
      </w:r>
      <w:proofErr w:type="gramStart"/>
      <w:r>
        <w:t>Clifford, 33.</w:t>
      </w:r>
      <w:proofErr w:type="gramEnd"/>
    </w:p>
  </w:endnote>
  <w:endnote w:id="44">
    <w:p w:rsidR="00FB0B6D" w:rsidRDefault="00FB0B6D" w:rsidP="00371F7A">
      <w:pPr>
        <w:pStyle w:val="EndnoteText"/>
      </w:pPr>
      <w:r>
        <w:rPr>
          <w:rStyle w:val="EndnoteReference"/>
        </w:rPr>
        <w:endnoteRef/>
      </w:r>
      <w:r>
        <w:t xml:space="preserve"> </w:t>
      </w:r>
      <w:proofErr w:type="gramStart"/>
      <w:r>
        <w:t>Clifford, 28.</w:t>
      </w:r>
      <w:proofErr w:type="gramEnd"/>
    </w:p>
  </w:endnote>
  <w:endnote w:id="45">
    <w:p w:rsidR="00FB0B6D" w:rsidRDefault="00FB0B6D" w:rsidP="00371F7A">
      <w:pPr>
        <w:pStyle w:val="EndnoteText"/>
      </w:pPr>
      <w:r>
        <w:rPr>
          <w:rStyle w:val="EndnoteReference"/>
        </w:rPr>
        <w:endnoteRef/>
      </w:r>
      <w:r>
        <w:t xml:space="preserve"> Goodman.</w:t>
      </w:r>
    </w:p>
  </w:endnote>
  <w:endnote w:id="46">
    <w:p w:rsidR="00FB0B6D" w:rsidRDefault="00FB0B6D" w:rsidP="00371F7A">
      <w:pPr>
        <w:pStyle w:val="EndnoteText"/>
      </w:pPr>
      <w:r>
        <w:rPr>
          <w:rStyle w:val="EndnoteReference"/>
        </w:rPr>
        <w:endnoteRef/>
      </w:r>
      <w:r>
        <w:t xml:space="preserve"> Goodman.</w:t>
      </w:r>
    </w:p>
  </w:endnote>
  <w:endnote w:id="47">
    <w:p w:rsidR="00FB0B6D" w:rsidRDefault="00FB0B6D" w:rsidP="00371F7A">
      <w:pPr>
        <w:pStyle w:val="EndnoteText"/>
      </w:pPr>
      <w:r>
        <w:rPr>
          <w:rStyle w:val="EndnoteReference"/>
        </w:rPr>
        <w:endnoteRef/>
      </w:r>
      <w:r>
        <w:t xml:space="preserve"> </w:t>
      </w:r>
      <w:proofErr w:type="gramStart"/>
      <w:r>
        <w:t>Boston Business Journal.</w:t>
      </w:r>
      <w:proofErr w:type="gramEnd"/>
      <w:r>
        <w:t xml:space="preserve"> Area’s Fastest-Growing Private Companies. April 26, 2013.</w:t>
      </w:r>
    </w:p>
  </w:endnote>
  <w:endnote w:id="48">
    <w:p w:rsidR="00FB0B6D" w:rsidRDefault="00FB0B6D" w:rsidP="00371F7A">
      <w:pPr>
        <w:pStyle w:val="EndnoteText"/>
      </w:pPr>
      <w:r>
        <w:rPr>
          <w:rStyle w:val="EndnoteReference"/>
        </w:rPr>
        <w:endnoteRef/>
      </w:r>
      <w:r>
        <w:t xml:space="preserve"> Goodman.</w:t>
      </w:r>
    </w:p>
  </w:endnote>
  <w:endnote w:id="49">
    <w:p w:rsidR="00FB0B6D" w:rsidRDefault="00FB0B6D" w:rsidP="00371F7A">
      <w:pPr>
        <w:pStyle w:val="EndnoteText"/>
      </w:pPr>
      <w:r>
        <w:rPr>
          <w:rStyle w:val="EndnoteReference"/>
        </w:rPr>
        <w:endnoteRef/>
      </w:r>
      <w:r>
        <w:t xml:space="preserve"> </w:t>
      </w:r>
      <w:proofErr w:type="gramStart"/>
      <w:r>
        <w:t>BATEC.</w:t>
      </w:r>
      <w:proofErr w:type="gramEnd"/>
      <w:r>
        <w:t xml:space="preserve"> </w:t>
      </w:r>
      <w:proofErr w:type="gramStart"/>
      <w:r>
        <w:t>An Analysis of Information Technology Middle Skill Job Openings 2011.</w:t>
      </w:r>
      <w:proofErr w:type="gramEnd"/>
      <w:r>
        <w:t xml:space="preserve"> Boston, MA. June 2012.</w:t>
      </w:r>
    </w:p>
  </w:endnote>
  <w:endnote w:id="50">
    <w:p w:rsidR="00FB0B6D" w:rsidRDefault="00FB0B6D" w:rsidP="00371F7A">
      <w:pPr>
        <w:pStyle w:val="EndnoteText"/>
      </w:pPr>
      <w:r>
        <w:rPr>
          <w:rStyle w:val="EndnoteReference"/>
        </w:rPr>
        <w:endnoteRef/>
      </w:r>
      <w:r>
        <w:t xml:space="preserve"> Boston Business Journal, August 2-8, 2013.</w:t>
      </w:r>
    </w:p>
  </w:endnote>
  <w:endnote w:id="51">
    <w:p w:rsidR="00FB0B6D" w:rsidRDefault="00FB0B6D" w:rsidP="00371F7A">
      <w:pPr>
        <w:pStyle w:val="EndnoteText"/>
      </w:pPr>
      <w:r>
        <w:rPr>
          <w:rStyle w:val="EndnoteReference"/>
        </w:rPr>
        <w:endnoteRef/>
      </w:r>
      <w:r>
        <w:t xml:space="preserve"> Boston Business Journal, August 2-8, 2013.</w:t>
      </w:r>
    </w:p>
  </w:endnote>
  <w:endnote w:id="52">
    <w:p w:rsidR="00FB0B6D" w:rsidRDefault="00FB0B6D" w:rsidP="00371F7A">
      <w:pPr>
        <w:pStyle w:val="EndnoteText"/>
      </w:pPr>
      <w:r>
        <w:rPr>
          <w:rStyle w:val="EndnoteReference"/>
        </w:rPr>
        <w:endnoteRef/>
      </w:r>
      <w:r>
        <w:t xml:space="preserve"> Boston Business Journal, August 2-8, 2013.</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0905132"/>
      <w:docPartObj>
        <w:docPartGallery w:val="Page Numbers (Bottom of Page)"/>
        <w:docPartUnique/>
      </w:docPartObj>
    </w:sdtPr>
    <w:sdtEndPr>
      <w:rPr>
        <w:noProof/>
      </w:rPr>
    </w:sdtEndPr>
    <w:sdtContent>
      <w:p w:rsidR="00FB0B6D" w:rsidRDefault="00FB0B6D" w:rsidP="004E2B8F">
        <w:pPr>
          <w:pStyle w:val="Footer"/>
          <w:tabs>
            <w:tab w:val="clear" w:pos="4680"/>
          </w:tabs>
        </w:pPr>
        <w:r w:rsidRPr="00471FDB">
          <w:rPr>
            <w:rFonts w:asciiTheme="majorHAnsi" w:hAnsiTheme="majorHAnsi"/>
            <w:sz w:val="16"/>
            <w:szCs w:val="16"/>
          </w:rPr>
          <w:t>7/10/2014</w:t>
        </w:r>
        <w:r>
          <w:tab/>
        </w:r>
        <w:r w:rsidR="00A07619" w:rsidRPr="00471FDB">
          <w:rPr>
            <w:sz w:val="16"/>
            <w:szCs w:val="16"/>
          </w:rPr>
          <w:fldChar w:fldCharType="begin"/>
        </w:r>
        <w:r w:rsidRPr="00471FDB">
          <w:rPr>
            <w:sz w:val="16"/>
            <w:szCs w:val="16"/>
          </w:rPr>
          <w:instrText xml:space="preserve"> PAGE   \* MERGEFORMAT </w:instrText>
        </w:r>
        <w:r w:rsidR="00A07619" w:rsidRPr="00471FDB">
          <w:rPr>
            <w:sz w:val="16"/>
            <w:szCs w:val="16"/>
          </w:rPr>
          <w:fldChar w:fldCharType="separate"/>
        </w:r>
        <w:r w:rsidR="007E2CDB">
          <w:rPr>
            <w:noProof/>
            <w:sz w:val="16"/>
            <w:szCs w:val="16"/>
          </w:rPr>
          <w:t>2</w:t>
        </w:r>
        <w:r w:rsidR="00A07619" w:rsidRPr="00471FDB">
          <w:rPr>
            <w:noProof/>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D88" w:rsidRDefault="00F52D88" w:rsidP="00371F7A">
      <w:r>
        <w:separator/>
      </w:r>
    </w:p>
  </w:footnote>
  <w:footnote w:type="continuationSeparator" w:id="0">
    <w:p w:rsidR="00F52D88" w:rsidRDefault="00F52D88" w:rsidP="00371F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FCC592E"/>
    <w:lvl w:ilvl="0">
      <w:start w:val="1"/>
      <w:numFmt w:val="decimal"/>
      <w:lvlText w:val="%1."/>
      <w:lvlJc w:val="left"/>
      <w:pPr>
        <w:tabs>
          <w:tab w:val="num" w:pos="1800"/>
        </w:tabs>
        <w:ind w:left="1800" w:hanging="360"/>
      </w:pPr>
    </w:lvl>
  </w:abstractNum>
  <w:abstractNum w:abstractNumId="1">
    <w:nsid w:val="FFFFFF7D"/>
    <w:multiLevelType w:val="singleLevel"/>
    <w:tmpl w:val="7138DC52"/>
    <w:lvl w:ilvl="0">
      <w:start w:val="1"/>
      <w:numFmt w:val="decimal"/>
      <w:lvlText w:val="%1."/>
      <w:lvlJc w:val="left"/>
      <w:pPr>
        <w:tabs>
          <w:tab w:val="num" w:pos="1440"/>
        </w:tabs>
        <w:ind w:left="1440" w:hanging="360"/>
      </w:pPr>
    </w:lvl>
  </w:abstractNum>
  <w:abstractNum w:abstractNumId="2">
    <w:nsid w:val="FFFFFF7E"/>
    <w:multiLevelType w:val="singleLevel"/>
    <w:tmpl w:val="83B0883A"/>
    <w:lvl w:ilvl="0">
      <w:start w:val="1"/>
      <w:numFmt w:val="decimal"/>
      <w:lvlText w:val="%1."/>
      <w:lvlJc w:val="left"/>
      <w:pPr>
        <w:tabs>
          <w:tab w:val="num" w:pos="1080"/>
        </w:tabs>
        <w:ind w:left="1080" w:hanging="360"/>
      </w:pPr>
    </w:lvl>
  </w:abstractNum>
  <w:abstractNum w:abstractNumId="3">
    <w:nsid w:val="FFFFFF7F"/>
    <w:multiLevelType w:val="singleLevel"/>
    <w:tmpl w:val="FE604254"/>
    <w:lvl w:ilvl="0">
      <w:start w:val="1"/>
      <w:numFmt w:val="decimal"/>
      <w:lvlText w:val="%1."/>
      <w:lvlJc w:val="left"/>
      <w:pPr>
        <w:tabs>
          <w:tab w:val="num" w:pos="720"/>
        </w:tabs>
        <w:ind w:left="720" w:hanging="360"/>
      </w:pPr>
    </w:lvl>
  </w:abstractNum>
  <w:abstractNum w:abstractNumId="4">
    <w:nsid w:val="FFFFFF80"/>
    <w:multiLevelType w:val="singleLevel"/>
    <w:tmpl w:val="A6D6CCE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4FE364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87A4CB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C47F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24C1942"/>
    <w:lvl w:ilvl="0">
      <w:start w:val="1"/>
      <w:numFmt w:val="decimal"/>
      <w:lvlText w:val="%1."/>
      <w:lvlJc w:val="left"/>
      <w:pPr>
        <w:tabs>
          <w:tab w:val="num" w:pos="360"/>
        </w:tabs>
        <w:ind w:left="360" w:hanging="360"/>
      </w:pPr>
    </w:lvl>
  </w:abstractNum>
  <w:abstractNum w:abstractNumId="9">
    <w:nsid w:val="FFFFFF89"/>
    <w:multiLevelType w:val="singleLevel"/>
    <w:tmpl w:val="5080D1AC"/>
    <w:lvl w:ilvl="0">
      <w:start w:val="1"/>
      <w:numFmt w:val="bullet"/>
      <w:lvlText w:val=""/>
      <w:lvlJc w:val="left"/>
      <w:pPr>
        <w:tabs>
          <w:tab w:val="num" w:pos="360"/>
        </w:tabs>
        <w:ind w:left="360" w:hanging="360"/>
      </w:pPr>
      <w:rPr>
        <w:rFonts w:ascii="Symbol" w:hAnsi="Symbol" w:hint="default"/>
      </w:rPr>
    </w:lvl>
  </w:abstractNum>
  <w:abstractNum w:abstractNumId="10">
    <w:nsid w:val="0B72497C"/>
    <w:multiLevelType w:val="hybridMultilevel"/>
    <w:tmpl w:val="C190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C15CD1"/>
    <w:multiLevelType w:val="hybridMultilevel"/>
    <w:tmpl w:val="09EE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onsecutiveHyphenLimit w:val="2"/>
  <w:doNotHyphenateCaps/>
  <w:drawingGridHorizontalSpacing w:val="100"/>
  <w:displayHorizontalDrawingGridEvery w:val="2"/>
  <w:characterSpacingControl w:val="doNotCompress"/>
  <w:hdrShapeDefaults>
    <o:shapedefaults v:ext="edit" spidmax="29698">
      <o:colormenu v:ext="edit" fillcolor="none" strokecolor="none [2404]" shadowcolor="none"/>
    </o:shapedefaults>
  </w:hdrShapeDefaults>
  <w:footnotePr>
    <w:numFmt w:val="lowerRoman"/>
    <w:footnote w:id="-1"/>
    <w:footnote w:id="0"/>
  </w:footnotePr>
  <w:endnotePr>
    <w:numFmt w:val="decimal"/>
    <w:endnote w:id="-1"/>
    <w:endnote w:id="0"/>
  </w:endnotePr>
  <w:compat/>
  <w:rsids>
    <w:rsidRoot w:val="007C2514"/>
    <w:rsid w:val="00004CFE"/>
    <w:rsid w:val="000073E1"/>
    <w:rsid w:val="000075A3"/>
    <w:rsid w:val="00017312"/>
    <w:rsid w:val="00017CB5"/>
    <w:rsid w:val="00022304"/>
    <w:rsid w:val="00025120"/>
    <w:rsid w:val="000327FF"/>
    <w:rsid w:val="00033986"/>
    <w:rsid w:val="0003627F"/>
    <w:rsid w:val="0004210D"/>
    <w:rsid w:val="00043F9C"/>
    <w:rsid w:val="00050E0B"/>
    <w:rsid w:val="000534D9"/>
    <w:rsid w:val="000537E0"/>
    <w:rsid w:val="0006090B"/>
    <w:rsid w:val="0006097F"/>
    <w:rsid w:val="000765F5"/>
    <w:rsid w:val="00081274"/>
    <w:rsid w:val="00082C69"/>
    <w:rsid w:val="00084096"/>
    <w:rsid w:val="00092376"/>
    <w:rsid w:val="00096EBE"/>
    <w:rsid w:val="000A1FCD"/>
    <w:rsid w:val="000B0B6E"/>
    <w:rsid w:val="000C0469"/>
    <w:rsid w:val="000C07C2"/>
    <w:rsid w:val="000C3A4B"/>
    <w:rsid w:val="000D1E45"/>
    <w:rsid w:val="000D2515"/>
    <w:rsid w:val="000E2616"/>
    <w:rsid w:val="000E60A1"/>
    <w:rsid w:val="000F7352"/>
    <w:rsid w:val="00104325"/>
    <w:rsid w:val="001116A3"/>
    <w:rsid w:val="00117C0A"/>
    <w:rsid w:val="00126743"/>
    <w:rsid w:val="00134A2F"/>
    <w:rsid w:val="001433A5"/>
    <w:rsid w:val="001507CA"/>
    <w:rsid w:val="00151F74"/>
    <w:rsid w:val="00153427"/>
    <w:rsid w:val="001544B4"/>
    <w:rsid w:val="00155C66"/>
    <w:rsid w:val="00155D36"/>
    <w:rsid w:val="001573B9"/>
    <w:rsid w:val="0016186B"/>
    <w:rsid w:val="00161CDB"/>
    <w:rsid w:val="00167A34"/>
    <w:rsid w:val="001768EC"/>
    <w:rsid w:val="00177B6E"/>
    <w:rsid w:val="00177CA1"/>
    <w:rsid w:val="00184E80"/>
    <w:rsid w:val="001865A5"/>
    <w:rsid w:val="00191EFA"/>
    <w:rsid w:val="001A5E9A"/>
    <w:rsid w:val="001A74BF"/>
    <w:rsid w:val="001B5BD8"/>
    <w:rsid w:val="001C0DA4"/>
    <w:rsid w:val="001D1A1C"/>
    <w:rsid w:val="001D20E2"/>
    <w:rsid w:val="001D41B3"/>
    <w:rsid w:val="001D6B6A"/>
    <w:rsid w:val="001E3CB6"/>
    <w:rsid w:val="00205217"/>
    <w:rsid w:val="002143CF"/>
    <w:rsid w:val="00221B7D"/>
    <w:rsid w:val="00225FDD"/>
    <w:rsid w:val="00227B71"/>
    <w:rsid w:val="00232F15"/>
    <w:rsid w:val="002508B8"/>
    <w:rsid w:val="00250E86"/>
    <w:rsid w:val="002539CB"/>
    <w:rsid w:val="0025585B"/>
    <w:rsid w:val="002739FA"/>
    <w:rsid w:val="00276EEC"/>
    <w:rsid w:val="00290769"/>
    <w:rsid w:val="002959A8"/>
    <w:rsid w:val="002A3890"/>
    <w:rsid w:val="002A5604"/>
    <w:rsid w:val="002A5D3C"/>
    <w:rsid w:val="002B0C62"/>
    <w:rsid w:val="002C0272"/>
    <w:rsid w:val="002C308B"/>
    <w:rsid w:val="002D19F1"/>
    <w:rsid w:val="002D24C2"/>
    <w:rsid w:val="002D2E9B"/>
    <w:rsid w:val="002D3E85"/>
    <w:rsid w:val="002E77A1"/>
    <w:rsid w:val="002F09FD"/>
    <w:rsid w:val="002F371A"/>
    <w:rsid w:val="00304C6E"/>
    <w:rsid w:val="003248BA"/>
    <w:rsid w:val="003252F4"/>
    <w:rsid w:val="00332EB9"/>
    <w:rsid w:val="0034489F"/>
    <w:rsid w:val="003508D4"/>
    <w:rsid w:val="00353AB9"/>
    <w:rsid w:val="00371F7A"/>
    <w:rsid w:val="0037424E"/>
    <w:rsid w:val="00391D3B"/>
    <w:rsid w:val="00394195"/>
    <w:rsid w:val="003957C2"/>
    <w:rsid w:val="00395A50"/>
    <w:rsid w:val="003A1DA6"/>
    <w:rsid w:val="003C2243"/>
    <w:rsid w:val="003D2449"/>
    <w:rsid w:val="003E2604"/>
    <w:rsid w:val="003E5CCA"/>
    <w:rsid w:val="00415A3B"/>
    <w:rsid w:val="00417525"/>
    <w:rsid w:val="0041755F"/>
    <w:rsid w:val="00425DD7"/>
    <w:rsid w:val="004347D7"/>
    <w:rsid w:val="00437487"/>
    <w:rsid w:val="00440135"/>
    <w:rsid w:val="004448A2"/>
    <w:rsid w:val="00447D88"/>
    <w:rsid w:val="00465590"/>
    <w:rsid w:val="00467684"/>
    <w:rsid w:val="00471FDB"/>
    <w:rsid w:val="004729F4"/>
    <w:rsid w:val="004779F9"/>
    <w:rsid w:val="0048312F"/>
    <w:rsid w:val="0049281D"/>
    <w:rsid w:val="004A3F2C"/>
    <w:rsid w:val="004A4DAA"/>
    <w:rsid w:val="004A725B"/>
    <w:rsid w:val="004B1CCB"/>
    <w:rsid w:val="004C2418"/>
    <w:rsid w:val="004C725C"/>
    <w:rsid w:val="004E140E"/>
    <w:rsid w:val="004E2B61"/>
    <w:rsid w:val="004E2B8F"/>
    <w:rsid w:val="004E30A7"/>
    <w:rsid w:val="004E756E"/>
    <w:rsid w:val="004F0CAE"/>
    <w:rsid w:val="004F1EEB"/>
    <w:rsid w:val="00505430"/>
    <w:rsid w:val="005131BF"/>
    <w:rsid w:val="00514BCD"/>
    <w:rsid w:val="0052546E"/>
    <w:rsid w:val="0053689F"/>
    <w:rsid w:val="00542BBF"/>
    <w:rsid w:val="005434F1"/>
    <w:rsid w:val="00543644"/>
    <w:rsid w:val="00546B41"/>
    <w:rsid w:val="005470C6"/>
    <w:rsid w:val="005548C3"/>
    <w:rsid w:val="0057736E"/>
    <w:rsid w:val="005774FE"/>
    <w:rsid w:val="00581AA9"/>
    <w:rsid w:val="00581CC4"/>
    <w:rsid w:val="00592ACC"/>
    <w:rsid w:val="0059388F"/>
    <w:rsid w:val="005948C0"/>
    <w:rsid w:val="00595CE6"/>
    <w:rsid w:val="005A1869"/>
    <w:rsid w:val="005A707C"/>
    <w:rsid w:val="005A73DA"/>
    <w:rsid w:val="005C1545"/>
    <w:rsid w:val="005C46E5"/>
    <w:rsid w:val="005D2634"/>
    <w:rsid w:val="005E5157"/>
    <w:rsid w:val="005F120A"/>
    <w:rsid w:val="005F68CB"/>
    <w:rsid w:val="005F7B49"/>
    <w:rsid w:val="00602A0C"/>
    <w:rsid w:val="006042FD"/>
    <w:rsid w:val="00615475"/>
    <w:rsid w:val="00616CB1"/>
    <w:rsid w:val="00620C3C"/>
    <w:rsid w:val="0063551C"/>
    <w:rsid w:val="00636941"/>
    <w:rsid w:val="00642E61"/>
    <w:rsid w:val="00642E70"/>
    <w:rsid w:val="00655179"/>
    <w:rsid w:val="00656821"/>
    <w:rsid w:val="00667026"/>
    <w:rsid w:val="00670774"/>
    <w:rsid w:val="00671064"/>
    <w:rsid w:val="00671116"/>
    <w:rsid w:val="00674577"/>
    <w:rsid w:val="0067572A"/>
    <w:rsid w:val="00682F95"/>
    <w:rsid w:val="00692F01"/>
    <w:rsid w:val="00697CBC"/>
    <w:rsid w:val="006A02C7"/>
    <w:rsid w:val="006A31DE"/>
    <w:rsid w:val="006A375B"/>
    <w:rsid w:val="006A4B2E"/>
    <w:rsid w:val="006A7C71"/>
    <w:rsid w:val="006B2754"/>
    <w:rsid w:val="006C0B63"/>
    <w:rsid w:val="006D3464"/>
    <w:rsid w:val="006D45E0"/>
    <w:rsid w:val="006D76CD"/>
    <w:rsid w:val="006E454F"/>
    <w:rsid w:val="006E4D62"/>
    <w:rsid w:val="00714217"/>
    <w:rsid w:val="00716DD2"/>
    <w:rsid w:val="00720967"/>
    <w:rsid w:val="00744E84"/>
    <w:rsid w:val="00750F9C"/>
    <w:rsid w:val="007538DA"/>
    <w:rsid w:val="0075568E"/>
    <w:rsid w:val="007708BA"/>
    <w:rsid w:val="00773A43"/>
    <w:rsid w:val="00774312"/>
    <w:rsid w:val="00782762"/>
    <w:rsid w:val="007845CB"/>
    <w:rsid w:val="00795431"/>
    <w:rsid w:val="007A200A"/>
    <w:rsid w:val="007A31B8"/>
    <w:rsid w:val="007A3BB1"/>
    <w:rsid w:val="007A4456"/>
    <w:rsid w:val="007A4D71"/>
    <w:rsid w:val="007A6206"/>
    <w:rsid w:val="007C2514"/>
    <w:rsid w:val="007C4FB1"/>
    <w:rsid w:val="007D3424"/>
    <w:rsid w:val="007D628E"/>
    <w:rsid w:val="007D784A"/>
    <w:rsid w:val="007E2CDB"/>
    <w:rsid w:val="007E2DDB"/>
    <w:rsid w:val="007E3009"/>
    <w:rsid w:val="007E5792"/>
    <w:rsid w:val="007E6349"/>
    <w:rsid w:val="007F292C"/>
    <w:rsid w:val="007F41F5"/>
    <w:rsid w:val="00806BBC"/>
    <w:rsid w:val="00810A0F"/>
    <w:rsid w:val="00822F6E"/>
    <w:rsid w:val="00824832"/>
    <w:rsid w:val="00827084"/>
    <w:rsid w:val="00836BCB"/>
    <w:rsid w:val="00844B89"/>
    <w:rsid w:val="00847E22"/>
    <w:rsid w:val="00847E99"/>
    <w:rsid w:val="008574DE"/>
    <w:rsid w:val="00861C3E"/>
    <w:rsid w:val="00862BED"/>
    <w:rsid w:val="00863A99"/>
    <w:rsid w:val="00876F34"/>
    <w:rsid w:val="00882E99"/>
    <w:rsid w:val="00885FE3"/>
    <w:rsid w:val="00896256"/>
    <w:rsid w:val="008A01B6"/>
    <w:rsid w:val="008A3252"/>
    <w:rsid w:val="008A60FC"/>
    <w:rsid w:val="008A72B8"/>
    <w:rsid w:val="008C0347"/>
    <w:rsid w:val="008C188D"/>
    <w:rsid w:val="008C2E68"/>
    <w:rsid w:val="008C3088"/>
    <w:rsid w:val="008E0138"/>
    <w:rsid w:val="008F76C3"/>
    <w:rsid w:val="00901A01"/>
    <w:rsid w:val="009137AF"/>
    <w:rsid w:val="00917F66"/>
    <w:rsid w:val="00932AA8"/>
    <w:rsid w:val="00951FE5"/>
    <w:rsid w:val="009524D9"/>
    <w:rsid w:val="00955DF4"/>
    <w:rsid w:val="009606B7"/>
    <w:rsid w:val="009630EE"/>
    <w:rsid w:val="00965D8E"/>
    <w:rsid w:val="00972431"/>
    <w:rsid w:val="00975F7D"/>
    <w:rsid w:val="00981847"/>
    <w:rsid w:val="00992757"/>
    <w:rsid w:val="00992B5E"/>
    <w:rsid w:val="0099354C"/>
    <w:rsid w:val="009946F1"/>
    <w:rsid w:val="009C0F4A"/>
    <w:rsid w:val="009C2EE1"/>
    <w:rsid w:val="009C3251"/>
    <w:rsid w:val="009C5D5C"/>
    <w:rsid w:val="009D1200"/>
    <w:rsid w:val="009E0A2A"/>
    <w:rsid w:val="009E45FD"/>
    <w:rsid w:val="009E5CBD"/>
    <w:rsid w:val="009F5029"/>
    <w:rsid w:val="00A07619"/>
    <w:rsid w:val="00A07D0A"/>
    <w:rsid w:val="00A10D77"/>
    <w:rsid w:val="00A11241"/>
    <w:rsid w:val="00A1518B"/>
    <w:rsid w:val="00A23BC0"/>
    <w:rsid w:val="00A27995"/>
    <w:rsid w:val="00A3035D"/>
    <w:rsid w:val="00A30522"/>
    <w:rsid w:val="00A30DC2"/>
    <w:rsid w:val="00A45E53"/>
    <w:rsid w:val="00A55CF9"/>
    <w:rsid w:val="00A60348"/>
    <w:rsid w:val="00A63D1C"/>
    <w:rsid w:val="00A641B7"/>
    <w:rsid w:val="00A72E2F"/>
    <w:rsid w:val="00A74199"/>
    <w:rsid w:val="00A845A1"/>
    <w:rsid w:val="00A8762A"/>
    <w:rsid w:val="00A943BE"/>
    <w:rsid w:val="00A946B2"/>
    <w:rsid w:val="00AA46D9"/>
    <w:rsid w:val="00AC0B47"/>
    <w:rsid w:val="00AC45DA"/>
    <w:rsid w:val="00AE24E9"/>
    <w:rsid w:val="00AF5B79"/>
    <w:rsid w:val="00B00629"/>
    <w:rsid w:val="00B023C9"/>
    <w:rsid w:val="00B03DAF"/>
    <w:rsid w:val="00B04C77"/>
    <w:rsid w:val="00B0795B"/>
    <w:rsid w:val="00B1083E"/>
    <w:rsid w:val="00B14F23"/>
    <w:rsid w:val="00B2053E"/>
    <w:rsid w:val="00B2131F"/>
    <w:rsid w:val="00B33AA5"/>
    <w:rsid w:val="00B3693C"/>
    <w:rsid w:val="00B413D9"/>
    <w:rsid w:val="00B46472"/>
    <w:rsid w:val="00B47381"/>
    <w:rsid w:val="00B53D95"/>
    <w:rsid w:val="00B64925"/>
    <w:rsid w:val="00B66FCB"/>
    <w:rsid w:val="00B75982"/>
    <w:rsid w:val="00B813A2"/>
    <w:rsid w:val="00B83390"/>
    <w:rsid w:val="00B90F13"/>
    <w:rsid w:val="00B92019"/>
    <w:rsid w:val="00BB452A"/>
    <w:rsid w:val="00BC1971"/>
    <w:rsid w:val="00BC3118"/>
    <w:rsid w:val="00BC686E"/>
    <w:rsid w:val="00BE119F"/>
    <w:rsid w:val="00BE2951"/>
    <w:rsid w:val="00BE36D4"/>
    <w:rsid w:val="00BF2666"/>
    <w:rsid w:val="00C02E4A"/>
    <w:rsid w:val="00C24CC8"/>
    <w:rsid w:val="00C323FB"/>
    <w:rsid w:val="00C33647"/>
    <w:rsid w:val="00C3506B"/>
    <w:rsid w:val="00C37097"/>
    <w:rsid w:val="00C527CF"/>
    <w:rsid w:val="00C55447"/>
    <w:rsid w:val="00C579FA"/>
    <w:rsid w:val="00C67180"/>
    <w:rsid w:val="00C679BA"/>
    <w:rsid w:val="00C74DB1"/>
    <w:rsid w:val="00C850A1"/>
    <w:rsid w:val="00C91597"/>
    <w:rsid w:val="00CA5366"/>
    <w:rsid w:val="00CA6276"/>
    <w:rsid w:val="00CA6695"/>
    <w:rsid w:val="00CB3409"/>
    <w:rsid w:val="00CB43D4"/>
    <w:rsid w:val="00CB5167"/>
    <w:rsid w:val="00CB616F"/>
    <w:rsid w:val="00CC485B"/>
    <w:rsid w:val="00CC5429"/>
    <w:rsid w:val="00CE317E"/>
    <w:rsid w:val="00D007C6"/>
    <w:rsid w:val="00D020F0"/>
    <w:rsid w:val="00D11D24"/>
    <w:rsid w:val="00D13CA0"/>
    <w:rsid w:val="00D2137D"/>
    <w:rsid w:val="00D228DC"/>
    <w:rsid w:val="00D3246D"/>
    <w:rsid w:val="00D36CF7"/>
    <w:rsid w:val="00D40003"/>
    <w:rsid w:val="00D40EBE"/>
    <w:rsid w:val="00D46FB3"/>
    <w:rsid w:val="00D47BE2"/>
    <w:rsid w:val="00D55086"/>
    <w:rsid w:val="00D72928"/>
    <w:rsid w:val="00D72F26"/>
    <w:rsid w:val="00D76E73"/>
    <w:rsid w:val="00D813FB"/>
    <w:rsid w:val="00D83957"/>
    <w:rsid w:val="00D83FAC"/>
    <w:rsid w:val="00DA26D0"/>
    <w:rsid w:val="00DA6D81"/>
    <w:rsid w:val="00DA7699"/>
    <w:rsid w:val="00DB09D8"/>
    <w:rsid w:val="00DC0830"/>
    <w:rsid w:val="00DC5687"/>
    <w:rsid w:val="00DD1E24"/>
    <w:rsid w:val="00DD53B7"/>
    <w:rsid w:val="00DE53AB"/>
    <w:rsid w:val="00DE6947"/>
    <w:rsid w:val="00DF1A1B"/>
    <w:rsid w:val="00DF24E7"/>
    <w:rsid w:val="00DF367B"/>
    <w:rsid w:val="00E02968"/>
    <w:rsid w:val="00E11F7C"/>
    <w:rsid w:val="00E12500"/>
    <w:rsid w:val="00E131E5"/>
    <w:rsid w:val="00E13B00"/>
    <w:rsid w:val="00E20F5C"/>
    <w:rsid w:val="00E21578"/>
    <w:rsid w:val="00E260E4"/>
    <w:rsid w:val="00E31572"/>
    <w:rsid w:val="00E405C6"/>
    <w:rsid w:val="00E4201F"/>
    <w:rsid w:val="00E42D1C"/>
    <w:rsid w:val="00E541F0"/>
    <w:rsid w:val="00E54528"/>
    <w:rsid w:val="00E546FC"/>
    <w:rsid w:val="00E54F42"/>
    <w:rsid w:val="00E6625F"/>
    <w:rsid w:val="00E6697B"/>
    <w:rsid w:val="00E70751"/>
    <w:rsid w:val="00E72F07"/>
    <w:rsid w:val="00E749CA"/>
    <w:rsid w:val="00E846F3"/>
    <w:rsid w:val="00EA1175"/>
    <w:rsid w:val="00EA3D0A"/>
    <w:rsid w:val="00EB25C3"/>
    <w:rsid w:val="00EB6FFD"/>
    <w:rsid w:val="00EB7C17"/>
    <w:rsid w:val="00EC5BD5"/>
    <w:rsid w:val="00ED2732"/>
    <w:rsid w:val="00ED4AFE"/>
    <w:rsid w:val="00ED590A"/>
    <w:rsid w:val="00EE4B99"/>
    <w:rsid w:val="00EF42DC"/>
    <w:rsid w:val="00EF6C13"/>
    <w:rsid w:val="00F31250"/>
    <w:rsid w:val="00F363F3"/>
    <w:rsid w:val="00F36597"/>
    <w:rsid w:val="00F37C38"/>
    <w:rsid w:val="00F42A75"/>
    <w:rsid w:val="00F52D88"/>
    <w:rsid w:val="00F636DE"/>
    <w:rsid w:val="00F64145"/>
    <w:rsid w:val="00F6618B"/>
    <w:rsid w:val="00F67882"/>
    <w:rsid w:val="00F702CD"/>
    <w:rsid w:val="00F73171"/>
    <w:rsid w:val="00F76A48"/>
    <w:rsid w:val="00F76CE9"/>
    <w:rsid w:val="00F80855"/>
    <w:rsid w:val="00F97CC0"/>
    <w:rsid w:val="00FA32A7"/>
    <w:rsid w:val="00FA7B61"/>
    <w:rsid w:val="00FB0B6D"/>
    <w:rsid w:val="00FB66AA"/>
    <w:rsid w:val="00FC0BC5"/>
    <w:rsid w:val="00FD0615"/>
    <w:rsid w:val="00FE35BF"/>
    <w:rsid w:val="00FE67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strokecolor="none [2404]"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rticle Body Copy"/>
    <w:qFormat/>
    <w:rsid w:val="004E756E"/>
    <w:pPr>
      <w:spacing w:after="120" w:line="276" w:lineRule="auto"/>
    </w:pPr>
    <w:rPr>
      <w:rFonts w:ascii="Century Schoolbook" w:hAnsi="Century Schoolbook"/>
      <w:sz w:val="20"/>
    </w:rPr>
  </w:style>
  <w:style w:type="paragraph" w:styleId="Heading1">
    <w:name w:val="heading 1"/>
    <w:basedOn w:val="NoSpacing"/>
    <w:next w:val="Normal"/>
    <w:link w:val="Heading1Char"/>
    <w:uiPriority w:val="9"/>
    <w:qFormat/>
    <w:rsid w:val="005434F1"/>
    <w:pPr>
      <w:keepNext/>
      <w:spacing w:before="480" w:after="240"/>
      <w:outlineLvl w:val="0"/>
    </w:pPr>
    <w:rPr>
      <w:rFonts w:ascii="Verdana" w:hAnsi="Verdana"/>
      <w:b/>
      <w:color w:val="1F497D" w:themeColor="text2"/>
      <w:szCs w:val="20"/>
    </w:rPr>
  </w:style>
  <w:style w:type="paragraph" w:styleId="Heading2">
    <w:name w:val="heading 2"/>
    <w:basedOn w:val="NoSpacing"/>
    <w:next w:val="Normal"/>
    <w:link w:val="Heading2Char"/>
    <w:uiPriority w:val="9"/>
    <w:unhideWhenUsed/>
    <w:qFormat/>
    <w:rsid w:val="005434F1"/>
    <w:pPr>
      <w:keepNext/>
      <w:spacing w:before="360" w:after="180"/>
      <w:outlineLvl w:val="1"/>
    </w:pPr>
    <w:rPr>
      <w:b/>
      <w:i/>
      <w:spacing w:val="-5"/>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2514"/>
  </w:style>
  <w:style w:type="paragraph" w:styleId="BalloonText">
    <w:name w:val="Balloon Text"/>
    <w:basedOn w:val="Normal"/>
    <w:link w:val="BalloonTextChar"/>
    <w:uiPriority w:val="99"/>
    <w:semiHidden/>
    <w:unhideWhenUsed/>
    <w:rsid w:val="00155C66"/>
    <w:rPr>
      <w:rFonts w:ascii="Tahoma" w:hAnsi="Tahoma" w:cs="Tahoma"/>
      <w:szCs w:val="16"/>
    </w:rPr>
  </w:style>
  <w:style w:type="character" w:customStyle="1" w:styleId="BalloonTextChar">
    <w:name w:val="Balloon Text Char"/>
    <w:basedOn w:val="DefaultParagraphFont"/>
    <w:link w:val="BalloonText"/>
    <w:uiPriority w:val="99"/>
    <w:semiHidden/>
    <w:rsid w:val="00155C66"/>
    <w:rPr>
      <w:rFonts w:ascii="Tahoma" w:hAnsi="Tahoma" w:cs="Tahoma"/>
      <w:sz w:val="16"/>
      <w:szCs w:val="16"/>
    </w:rPr>
  </w:style>
  <w:style w:type="paragraph" w:styleId="EndnoteText">
    <w:name w:val="endnote text"/>
    <w:basedOn w:val="Normal"/>
    <w:link w:val="EndnoteTextChar"/>
    <w:uiPriority w:val="99"/>
    <w:unhideWhenUsed/>
    <w:rsid w:val="00050E0B"/>
    <w:rPr>
      <w:sz w:val="16"/>
      <w:szCs w:val="20"/>
    </w:rPr>
  </w:style>
  <w:style w:type="character" w:customStyle="1" w:styleId="EndnoteTextChar">
    <w:name w:val="Endnote Text Char"/>
    <w:basedOn w:val="DefaultParagraphFont"/>
    <w:link w:val="EndnoteText"/>
    <w:uiPriority w:val="99"/>
    <w:rsid w:val="00050E0B"/>
    <w:rPr>
      <w:rFonts w:ascii="Century Schoolbook" w:hAnsi="Century Schoolbook"/>
      <w:sz w:val="16"/>
      <w:szCs w:val="20"/>
    </w:rPr>
  </w:style>
  <w:style w:type="character" w:styleId="EndnoteReference">
    <w:name w:val="endnote reference"/>
    <w:basedOn w:val="DefaultParagraphFont"/>
    <w:uiPriority w:val="99"/>
    <w:semiHidden/>
    <w:unhideWhenUsed/>
    <w:rsid w:val="00F363F3"/>
    <w:rPr>
      <w:vertAlign w:val="superscript"/>
    </w:rPr>
  </w:style>
  <w:style w:type="paragraph" w:styleId="FootnoteText">
    <w:name w:val="footnote text"/>
    <w:basedOn w:val="Normal"/>
    <w:link w:val="FootnoteTextChar"/>
    <w:uiPriority w:val="99"/>
    <w:unhideWhenUsed/>
    <w:rsid w:val="00FE35BF"/>
    <w:rPr>
      <w:szCs w:val="20"/>
    </w:rPr>
  </w:style>
  <w:style w:type="character" w:customStyle="1" w:styleId="FootnoteTextChar">
    <w:name w:val="Footnote Text Char"/>
    <w:basedOn w:val="DefaultParagraphFont"/>
    <w:link w:val="FootnoteText"/>
    <w:uiPriority w:val="99"/>
    <w:rsid w:val="00FE35BF"/>
    <w:rPr>
      <w:rFonts w:ascii="Century Schoolbook" w:hAnsi="Century Schoolbook"/>
      <w:sz w:val="16"/>
      <w:szCs w:val="20"/>
    </w:rPr>
  </w:style>
  <w:style w:type="character" w:styleId="FootnoteReference">
    <w:name w:val="footnote reference"/>
    <w:basedOn w:val="DefaultParagraphFont"/>
    <w:uiPriority w:val="99"/>
    <w:semiHidden/>
    <w:unhideWhenUsed/>
    <w:rsid w:val="000B0B6E"/>
    <w:rPr>
      <w:vertAlign w:val="superscript"/>
    </w:rPr>
  </w:style>
  <w:style w:type="character" w:customStyle="1" w:styleId="Heading1Char">
    <w:name w:val="Heading 1 Char"/>
    <w:basedOn w:val="DefaultParagraphFont"/>
    <w:link w:val="Heading1"/>
    <w:uiPriority w:val="9"/>
    <w:rsid w:val="005434F1"/>
    <w:rPr>
      <w:rFonts w:ascii="Verdana" w:hAnsi="Verdana"/>
      <w:b/>
      <w:color w:val="1F497D" w:themeColor="text2"/>
      <w:szCs w:val="20"/>
    </w:rPr>
  </w:style>
  <w:style w:type="paragraph" w:styleId="Subtitle">
    <w:name w:val="Subtitle"/>
    <w:basedOn w:val="Normal"/>
    <w:next w:val="Normal"/>
    <w:link w:val="SubtitleChar"/>
    <w:uiPriority w:val="11"/>
    <w:qFormat/>
    <w:rsid w:val="002739FA"/>
    <w:pPr>
      <w:spacing w:after="0" w:line="240" w:lineRule="auto"/>
      <w:jc w:val="center"/>
    </w:pPr>
    <w:rPr>
      <w:rFonts w:ascii="Calibri" w:eastAsia="Times New Roman" w:hAnsi="Calibri" w:cs="Times New Roman"/>
      <w:b/>
      <w:bCs/>
      <w:color w:val="000000"/>
      <w:szCs w:val="20"/>
    </w:rPr>
  </w:style>
  <w:style w:type="character" w:customStyle="1" w:styleId="SubtitleChar">
    <w:name w:val="Subtitle Char"/>
    <w:basedOn w:val="DefaultParagraphFont"/>
    <w:link w:val="Subtitle"/>
    <w:uiPriority w:val="11"/>
    <w:rsid w:val="002739FA"/>
    <w:rPr>
      <w:rFonts w:ascii="Calibri" w:eastAsia="Times New Roman" w:hAnsi="Calibri" w:cs="Times New Roman"/>
      <w:b/>
      <w:bCs/>
      <w:color w:val="000000"/>
      <w:sz w:val="20"/>
      <w:szCs w:val="20"/>
    </w:rPr>
  </w:style>
  <w:style w:type="character" w:customStyle="1" w:styleId="Heading2Char">
    <w:name w:val="Heading 2 Char"/>
    <w:basedOn w:val="DefaultParagraphFont"/>
    <w:link w:val="Heading2"/>
    <w:uiPriority w:val="9"/>
    <w:rsid w:val="005434F1"/>
    <w:rPr>
      <w:b/>
      <w:i/>
      <w:spacing w:val="-5"/>
      <w:szCs w:val="18"/>
    </w:rPr>
  </w:style>
  <w:style w:type="table" w:styleId="LightGrid">
    <w:name w:val="Light Grid"/>
    <w:basedOn w:val="TableNormal"/>
    <w:uiPriority w:val="62"/>
    <w:rsid w:val="009C0F4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1">
    <w:name w:val="Medium Shading 1 Accent 1"/>
    <w:basedOn w:val="TableNormal"/>
    <w:uiPriority w:val="63"/>
    <w:rsid w:val="00E2157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er">
    <w:name w:val="footer"/>
    <w:basedOn w:val="Normal"/>
    <w:link w:val="FooterChar"/>
    <w:uiPriority w:val="99"/>
    <w:unhideWhenUsed/>
    <w:rsid w:val="00A23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BC0"/>
    <w:rPr>
      <w:rFonts w:ascii="Century Schoolbook" w:hAnsi="Century Schoolbook"/>
      <w:sz w:val="20"/>
    </w:rPr>
  </w:style>
  <w:style w:type="table" w:styleId="LightGrid-Accent1">
    <w:name w:val="Light Grid Accent 1"/>
    <w:basedOn w:val="TableNormal"/>
    <w:uiPriority w:val="62"/>
    <w:rsid w:val="00DA769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4F1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EEB"/>
    <w:rPr>
      <w:rFonts w:ascii="Century Schoolbook" w:hAnsi="Century Schoolbook"/>
      <w:sz w:val="20"/>
    </w:rPr>
  </w:style>
  <w:style w:type="paragraph" w:styleId="Title">
    <w:name w:val="Title"/>
    <w:basedOn w:val="Normal"/>
    <w:next w:val="Normal"/>
    <w:link w:val="TitleChar"/>
    <w:uiPriority w:val="10"/>
    <w:qFormat/>
    <w:rsid w:val="00656821"/>
    <w:pPr>
      <w:shd w:val="clear" w:color="auto" w:fill="8DB3E2" w:themeFill="text2" w:themeFillTint="66"/>
      <w:spacing w:after="0" w:line="240" w:lineRule="auto"/>
      <w:jc w:val="center"/>
    </w:pPr>
    <w:rPr>
      <w:rFonts w:ascii="Calibri" w:eastAsia="Times New Roman" w:hAnsi="Calibri" w:cs="Times New Roman"/>
      <w:b/>
      <w:bCs/>
      <w:caps/>
      <w:color w:val="FFFFFF" w:themeColor="background1"/>
      <w:szCs w:val="20"/>
    </w:rPr>
  </w:style>
  <w:style w:type="character" w:customStyle="1" w:styleId="TitleChar">
    <w:name w:val="Title Char"/>
    <w:basedOn w:val="DefaultParagraphFont"/>
    <w:link w:val="Title"/>
    <w:uiPriority w:val="10"/>
    <w:rsid w:val="00656821"/>
    <w:rPr>
      <w:rFonts w:ascii="Calibri" w:eastAsia="Times New Roman" w:hAnsi="Calibri" w:cs="Times New Roman"/>
      <w:b/>
      <w:bCs/>
      <w:caps/>
      <w:color w:val="FFFFFF" w:themeColor="background1"/>
      <w:sz w:val="20"/>
      <w:szCs w:val="20"/>
      <w:shd w:val="clear" w:color="auto" w:fill="8DB3E2" w:themeFill="text2" w:themeFillTint="66"/>
    </w:rPr>
  </w:style>
  <w:style w:type="paragraph" w:customStyle="1" w:styleId="TableBody">
    <w:name w:val="Table Body"/>
    <w:basedOn w:val="Normal"/>
    <w:qFormat/>
    <w:rsid w:val="002739FA"/>
    <w:pPr>
      <w:spacing w:after="0" w:line="240" w:lineRule="auto"/>
      <w:jc w:val="center"/>
    </w:pPr>
    <w:rPr>
      <w:rFonts w:ascii="Calibri" w:eastAsia="Times New Roman" w:hAnsi="Calibri" w:cs="Times New Roman"/>
      <w:bCs/>
      <w:color w:val="000000"/>
      <w:szCs w:val="20"/>
    </w:rPr>
  </w:style>
  <w:style w:type="table" w:styleId="TableGrid">
    <w:name w:val="Table Grid"/>
    <w:basedOn w:val="TableNormal"/>
    <w:uiPriority w:val="59"/>
    <w:rsid w:val="00273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119F"/>
    <w:pPr>
      <w:ind w:left="720"/>
      <w:contextualSpacing/>
    </w:pPr>
  </w:style>
  <w:style w:type="paragraph" w:styleId="IntenseQuote">
    <w:name w:val="Intense Quote"/>
    <w:basedOn w:val="Normal"/>
    <w:next w:val="Normal"/>
    <w:link w:val="IntenseQuoteChar"/>
    <w:uiPriority w:val="30"/>
    <w:qFormat/>
    <w:rsid w:val="00ED4AF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D4AFE"/>
    <w:rPr>
      <w:rFonts w:ascii="Century Schoolbook" w:hAnsi="Century Schoolbook"/>
      <w:b/>
      <w:bCs/>
      <w:i/>
      <w:iCs/>
      <w:color w:val="4F81BD" w:themeColor="accent1"/>
      <w:sz w:val="20"/>
    </w:rPr>
  </w:style>
  <w:style w:type="character" w:styleId="BookTitle">
    <w:name w:val="Book Title"/>
    <w:basedOn w:val="DefaultParagraphFont"/>
    <w:uiPriority w:val="33"/>
    <w:qFormat/>
    <w:rsid w:val="00225FD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rticle Body Copy"/>
    <w:qFormat/>
    <w:rsid w:val="004E756E"/>
    <w:pPr>
      <w:spacing w:after="120" w:line="276" w:lineRule="auto"/>
    </w:pPr>
    <w:rPr>
      <w:rFonts w:ascii="Century Schoolbook" w:hAnsi="Century Schoolbook"/>
      <w:sz w:val="20"/>
    </w:rPr>
  </w:style>
  <w:style w:type="paragraph" w:styleId="Heading1">
    <w:name w:val="heading 1"/>
    <w:basedOn w:val="NoSpacing"/>
    <w:next w:val="Normal"/>
    <w:link w:val="Heading1Char"/>
    <w:uiPriority w:val="9"/>
    <w:qFormat/>
    <w:rsid w:val="005434F1"/>
    <w:pPr>
      <w:keepNext/>
      <w:spacing w:before="480" w:after="240"/>
      <w:outlineLvl w:val="0"/>
    </w:pPr>
    <w:rPr>
      <w:rFonts w:ascii="Verdana" w:hAnsi="Verdana"/>
      <w:b/>
      <w:color w:val="1F497D" w:themeColor="text2"/>
      <w:szCs w:val="20"/>
    </w:rPr>
  </w:style>
  <w:style w:type="paragraph" w:styleId="Heading2">
    <w:name w:val="heading 2"/>
    <w:basedOn w:val="NoSpacing"/>
    <w:next w:val="Normal"/>
    <w:link w:val="Heading2Char"/>
    <w:uiPriority w:val="9"/>
    <w:unhideWhenUsed/>
    <w:qFormat/>
    <w:rsid w:val="005434F1"/>
    <w:pPr>
      <w:keepNext/>
      <w:spacing w:before="360" w:after="180"/>
      <w:outlineLvl w:val="1"/>
    </w:pPr>
    <w:rPr>
      <w:b/>
      <w:i/>
      <w:spacing w:val="-5"/>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2514"/>
  </w:style>
  <w:style w:type="paragraph" w:styleId="BalloonText">
    <w:name w:val="Balloon Text"/>
    <w:basedOn w:val="Normal"/>
    <w:link w:val="BalloonTextChar"/>
    <w:uiPriority w:val="99"/>
    <w:semiHidden/>
    <w:unhideWhenUsed/>
    <w:rsid w:val="00155C66"/>
    <w:rPr>
      <w:rFonts w:ascii="Tahoma" w:hAnsi="Tahoma" w:cs="Tahoma"/>
      <w:szCs w:val="16"/>
    </w:rPr>
  </w:style>
  <w:style w:type="character" w:customStyle="1" w:styleId="BalloonTextChar">
    <w:name w:val="Balloon Text Char"/>
    <w:basedOn w:val="DefaultParagraphFont"/>
    <w:link w:val="BalloonText"/>
    <w:uiPriority w:val="99"/>
    <w:semiHidden/>
    <w:rsid w:val="00155C66"/>
    <w:rPr>
      <w:rFonts w:ascii="Tahoma" w:hAnsi="Tahoma" w:cs="Tahoma"/>
      <w:sz w:val="16"/>
      <w:szCs w:val="16"/>
    </w:rPr>
  </w:style>
  <w:style w:type="paragraph" w:styleId="EndnoteText">
    <w:name w:val="endnote text"/>
    <w:basedOn w:val="Normal"/>
    <w:link w:val="EndnoteTextChar"/>
    <w:uiPriority w:val="99"/>
    <w:unhideWhenUsed/>
    <w:rsid w:val="00050E0B"/>
    <w:rPr>
      <w:sz w:val="16"/>
      <w:szCs w:val="20"/>
    </w:rPr>
  </w:style>
  <w:style w:type="character" w:customStyle="1" w:styleId="EndnoteTextChar">
    <w:name w:val="Endnote Text Char"/>
    <w:basedOn w:val="DefaultParagraphFont"/>
    <w:link w:val="EndnoteText"/>
    <w:uiPriority w:val="99"/>
    <w:rsid w:val="00050E0B"/>
    <w:rPr>
      <w:rFonts w:ascii="Century Schoolbook" w:hAnsi="Century Schoolbook"/>
      <w:sz w:val="16"/>
      <w:szCs w:val="20"/>
    </w:rPr>
  </w:style>
  <w:style w:type="character" w:styleId="EndnoteReference">
    <w:name w:val="endnote reference"/>
    <w:basedOn w:val="DefaultParagraphFont"/>
    <w:uiPriority w:val="99"/>
    <w:semiHidden/>
    <w:unhideWhenUsed/>
    <w:rsid w:val="00F363F3"/>
    <w:rPr>
      <w:vertAlign w:val="superscript"/>
    </w:rPr>
  </w:style>
  <w:style w:type="paragraph" w:styleId="FootnoteText">
    <w:name w:val="footnote text"/>
    <w:basedOn w:val="Normal"/>
    <w:link w:val="FootnoteTextChar"/>
    <w:uiPriority w:val="99"/>
    <w:unhideWhenUsed/>
    <w:rsid w:val="00FE35BF"/>
    <w:rPr>
      <w:szCs w:val="20"/>
    </w:rPr>
  </w:style>
  <w:style w:type="character" w:customStyle="1" w:styleId="FootnoteTextChar">
    <w:name w:val="Footnote Text Char"/>
    <w:basedOn w:val="DefaultParagraphFont"/>
    <w:link w:val="FootnoteText"/>
    <w:uiPriority w:val="99"/>
    <w:rsid w:val="00FE35BF"/>
    <w:rPr>
      <w:rFonts w:ascii="Century Schoolbook" w:hAnsi="Century Schoolbook"/>
      <w:sz w:val="16"/>
      <w:szCs w:val="20"/>
    </w:rPr>
  </w:style>
  <w:style w:type="character" w:styleId="FootnoteReference">
    <w:name w:val="footnote reference"/>
    <w:basedOn w:val="DefaultParagraphFont"/>
    <w:uiPriority w:val="99"/>
    <w:semiHidden/>
    <w:unhideWhenUsed/>
    <w:rsid w:val="000B0B6E"/>
    <w:rPr>
      <w:vertAlign w:val="superscript"/>
    </w:rPr>
  </w:style>
  <w:style w:type="character" w:customStyle="1" w:styleId="Heading1Char">
    <w:name w:val="Heading 1 Char"/>
    <w:basedOn w:val="DefaultParagraphFont"/>
    <w:link w:val="Heading1"/>
    <w:uiPriority w:val="9"/>
    <w:rsid w:val="005434F1"/>
    <w:rPr>
      <w:rFonts w:ascii="Verdana" w:hAnsi="Verdana"/>
      <w:b/>
      <w:color w:val="1F497D" w:themeColor="text2"/>
      <w:szCs w:val="20"/>
    </w:rPr>
  </w:style>
  <w:style w:type="paragraph" w:styleId="Subtitle">
    <w:name w:val="Subtitle"/>
    <w:basedOn w:val="Normal"/>
    <w:next w:val="Normal"/>
    <w:link w:val="SubtitleChar"/>
    <w:uiPriority w:val="11"/>
    <w:qFormat/>
    <w:rsid w:val="002739FA"/>
    <w:pPr>
      <w:spacing w:after="0" w:line="240" w:lineRule="auto"/>
      <w:jc w:val="center"/>
    </w:pPr>
    <w:rPr>
      <w:rFonts w:ascii="Calibri" w:eastAsia="Times New Roman" w:hAnsi="Calibri" w:cs="Times New Roman"/>
      <w:b/>
      <w:bCs/>
      <w:color w:val="000000"/>
      <w:szCs w:val="20"/>
    </w:rPr>
  </w:style>
  <w:style w:type="character" w:customStyle="1" w:styleId="SubtitleChar">
    <w:name w:val="Subtitle Char"/>
    <w:basedOn w:val="DefaultParagraphFont"/>
    <w:link w:val="Subtitle"/>
    <w:uiPriority w:val="11"/>
    <w:rsid w:val="002739FA"/>
    <w:rPr>
      <w:rFonts w:ascii="Calibri" w:eastAsia="Times New Roman" w:hAnsi="Calibri" w:cs="Times New Roman"/>
      <w:b/>
      <w:bCs/>
      <w:color w:val="000000"/>
      <w:sz w:val="20"/>
      <w:szCs w:val="20"/>
    </w:rPr>
  </w:style>
  <w:style w:type="character" w:customStyle="1" w:styleId="Heading2Char">
    <w:name w:val="Heading 2 Char"/>
    <w:basedOn w:val="DefaultParagraphFont"/>
    <w:link w:val="Heading2"/>
    <w:uiPriority w:val="9"/>
    <w:rsid w:val="005434F1"/>
    <w:rPr>
      <w:b/>
      <w:i/>
      <w:spacing w:val="-5"/>
      <w:szCs w:val="18"/>
    </w:rPr>
  </w:style>
  <w:style w:type="table" w:styleId="LightGrid">
    <w:name w:val="Light Grid"/>
    <w:basedOn w:val="TableNormal"/>
    <w:uiPriority w:val="62"/>
    <w:rsid w:val="009C0F4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1">
    <w:name w:val="Medium Shading 1 Accent 1"/>
    <w:basedOn w:val="TableNormal"/>
    <w:uiPriority w:val="63"/>
    <w:rsid w:val="00E2157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er">
    <w:name w:val="footer"/>
    <w:basedOn w:val="Normal"/>
    <w:link w:val="FooterChar"/>
    <w:uiPriority w:val="99"/>
    <w:unhideWhenUsed/>
    <w:rsid w:val="00A23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BC0"/>
    <w:rPr>
      <w:rFonts w:ascii="Century Schoolbook" w:hAnsi="Century Schoolbook"/>
      <w:sz w:val="20"/>
    </w:rPr>
  </w:style>
  <w:style w:type="table" w:styleId="LightGrid-Accent1">
    <w:name w:val="Light Grid Accent 1"/>
    <w:basedOn w:val="TableNormal"/>
    <w:uiPriority w:val="62"/>
    <w:rsid w:val="00DA769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4F1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EEB"/>
    <w:rPr>
      <w:rFonts w:ascii="Century Schoolbook" w:hAnsi="Century Schoolbook"/>
      <w:sz w:val="20"/>
    </w:rPr>
  </w:style>
  <w:style w:type="paragraph" w:styleId="Title">
    <w:name w:val="Title"/>
    <w:basedOn w:val="Normal"/>
    <w:next w:val="Normal"/>
    <w:link w:val="TitleChar"/>
    <w:uiPriority w:val="10"/>
    <w:qFormat/>
    <w:rsid w:val="00656821"/>
    <w:pPr>
      <w:shd w:val="clear" w:color="auto" w:fill="8DB3E2" w:themeFill="text2" w:themeFillTint="66"/>
      <w:spacing w:after="0" w:line="240" w:lineRule="auto"/>
      <w:jc w:val="center"/>
    </w:pPr>
    <w:rPr>
      <w:rFonts w:ascii="Calibri" w:eastAsia="Times New Roman" w:hAnsi="Calibri" w:cs="Times New Roman"/>
      <w:b/>
      <w:bCs/>
      <w:caps/>
      <w:color w:val="FFFFFF" w:themeColor="background1"/>
      <w:szCs w:val="20"/>
    </w:rPr>
  </w:style>
  <w:style w:type="character" w:customStyle="1" w:styleId="TitleChar">
    <w:name w:val="Title Char"/>
    <w:basedOn w:val="DefaultParagraphFont"/>
    <w:link w:val="Title"/>
    <w:uiPriority w:val="10"/>
    <w:rsid w:val="00656821"/>
    <w:rPr>
      <w:rFonts w:ascii="Calibri" w:eastAsia="Times New Roman" w:hAnsi="Calibri" w:cs="Times New Roman"/>
      <w:b/>
      <w:bCs/>
      <w:caps/>
      <w:color w:val="FFFFFF" w:themeColor="background1"/>
      <w:sz w:val="20"/>
      <w:szCs w:val="20"/>
      <w:shd w:val="clear" w:color="auto" w:fill="8DB3E2" w:themeFill="text2" w:themeFillTint="66"/>
    </w:rPr>
  </w:style>
  <w:style w:type="paragraph" w:customStyle="1" w:styleId="TableBody">
    <w:name w:val="Table Body"/>
    <w:basedOn w:val="Normal"/>
    <w:qFormat/>
    <w:rsid w:val="002739FA"/>
    <w:pPr>
      <w:spacing w:after="0" w:line="240" w:lineRule="auto"/>
      <w:jc w:val="center"/>
    </w:pPr>
    <w:rPr>
      <w:rFonts w:ascii="Calibri" w:eastAsia="Times New Roman" w:hAnsi="Calibri" w:cs="Times New Roman"/>
      <w:bCs/>
      <w:color w:val="000000"/>
      <w:szCs w:val="20"/>
    </w:rPr>
  </w:style>
  <w:style w:type="table" w:styleId="TableGrid">
    <w:name w:val="Table Grid"/>
    <w:basedOn w:val="TableNormal"/>
    <w:uiPriority w:val="59"/>
    <w:rsid w:val="00273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19F"/>
    <w:pPr>
      <w:ind w:left="720"/>
      <w:contextualSpacing/>
    </w:pPr>
  </w:style>
</w:styles>
</file>

<file path=word/webSettings.xml><?xml version="1.0" encoding="utf-8"?>
<w:webSettings xmlns:r="http://schemas.openxmlformats.org/officeDocument/2006/relationships" xmlns:w="http://schemas.openxmlformats.org/wordprocessingml/2006/main">
  <w:divs>
    <w:div w:id="6444518">
      <w:bodyDiv w:val="1"/>
      <w:marLeft w:val="0"/>
      <w:marRight w:val="0"/>
      <w:marTop w:val="0"/>
      <w:marBottom w:val="0"/>
      <w:divBdr>
        <w:top w:val="none" w:sz="0" w:space="0" w:color="auto"/>
        <w:left w:val="none" w:sz="0" w:space="0" w:color="auto"/>
        <w:bottom w:val="none" w:sz="0" w:space="0" w:color="auto"/>
        <w:right w:val="none" w:sz="0" w:space="0" w:color="auto"/>
      </w:divBdr>
    </w:div>
    <w:div w:id="176425127">
      <w:bodyDiv w:val="1"/>
      <w:marLeft w:val="0"/>
      <w:marRight w:val="0"/>
      <w:marTop w:val="0"/>
      <w:marBottom w:val="0"/>
      <w:divBdr>
        <w:top w:val="none" w:sz="0" w:space="0" w:color="auto"/>
        <w:left w:val="none" w:sz="0" w:space="0" w:color="auto"/>
        <w:bottom w:val="none" w:sz="0" w:space="0" w:color="auto"/>
        <w:right w:val="none" w:sz="0" w:space="0" w:color="auto"/>
      </w:divBdr>
    </w:div>
    <w:div w:id="482358817">
      <w:bodyDiv w:val="1"/>
      <w:marLeft w:val="0"/>
      <w:marRight w:val="0"/>
      <w:marTop w:val="0"/>
      <w:marBottom w:val="0"/>
      <w:divBdr>
        <w:top w:val="none" w:sz="0" w:space="0" w:color="auto"/>
        <w:left w:val="none" w:sz="0" w:space="0" w:color="auto"/>
        <w:bottom w:val="none" w:sz="0" w:space="0" w:color="auto"/>
        <w:right w:val="none" w:sz="0" w:space="0" w:color="auto"/>
      </w:divBdr>
    </w:div>
    <w:div w:id="527106573">
      <w:bodyDiv w:val="1"/>
      <w:marLeft w:val="0"/>
      <w:marRight w:val="0"/>
      <w:marTop w:val="0"/>
      <w:marBottom w:val="0"/>
      <w:divBdr>
        <w:top w:val="none" w:sz="0" w:space="0" w:color="auto"/>
        <w:left w:val="none" w:sz="0" w:space="0" w:color="auto"/>
        <w:bottom w:val="none" w:sz="0" w:space="0" w:color="auto"/>
        <w:right w:val="none" w:sz="0" w:space="0" w:color="auto"/>
      </w:divBdr>
    </w:div>
    <w:div w:id="812060908">
      <w:bodyDiv w:val="1"/>
      <w:marLeft w:val="0"/>
      <w:marRight w:val="0"/>
      <w:marTop w:val="0"/>
      <w:marBottom w:val="0"/>
      <w:divBdr>
        <w:top w:val="none" w:sz="0" w:space="0" w:color="auto"/>
        <w:left w:val="none" w:sz="0" w:space="0" w:color="auto"/>
        <w:bottom w:val="none" w:sz="0" w:space="0" w:color="auto"/>
        <w:right w:val="none" w:sz="0" w:space="0" w:color="auto"/>
      </w:divBdr>
    </w:div>
    <w:div w:id="870189744">
      <w:bodyDiv w:val="1"/>
      <w:marLeft w:val="0"/>
      <w:marRight w:val="0"/>
      <w:marTop w:val="0"/>
      <w:marBottom w:val="0"/>
      <w:divBdr>
        <w:top w:val="none" w:sz="0" w:space="0" w:color="auto"/>
        <w:left w:val="none" w:sz="0" w:space="0" w:color="auto"/>
        <w:bottom w:val="none" w:sz="0" w:space="0" w:color="auto"/>
        <w:right w:val="none" w:sz="0" w:space="0" w:color="auto"/>
      </w:divBdr>
    </w:div>
    <w:div w:id="1081559794">
      <w:bodyDiv w:val="1"/>
      <w:marLeft w:val="0"/>
      <w:marRight w:val="0"/>
      <w:marTop w:val="0"/>
      <w:marBottom w:val="0"/>
      <w:divBdr>
        <w:top w:val="none" w:sz="0" w:space="0" w:color="auto"/>
        <w:left w:val="none" w:sz="0" w:space="0" w:color="auto"/>
        <w:bottom w:val="none" w:sz="0" w:space="0" w:color="auto"/>
        <w:right w:val="none" w:sz="0" w:space="0" w:color="auto"/>
      </w:divBdr>
    </w:div>
    <w:div w:id="1325234082">
      <w:bodyDiv w:val="1"/>
      <w:marLeft w:val="0"/>
      <w:marRight w:val="0"/>
      <w:marTop w:val="0"/>
      <w:marBottom w:val="0"/>
      <w:divBdr>
        <w:top w:val="none" w:sz="0" w:space="0" w:color="auto"/>
        <w:left w:val="none" w:sz="0" w:space="0" w:color="auto"/>
        <w:bottom w:val="none" w:sz="0" w:space="0" w:color="auto"/>
        <w:right w:val="none" w:sz="0" w:space="0" w:color="auto"/>
      </w:divBdr>
    </w:div>
    <w:div w:id="1380856450">
      <w:bodyDiv w:val="1"/>
      <w:marLeft w:val="0"/>
      <w:marRight w:val="0"/>
      <w:marTop w:val="0"/>
      <w:marBottom w:val="0"/>
      <w:divBdr>
        <w:top w:val="none" w:sz="0" w:space="0" w:color="auto"/>
        <w:left w:val="none" w:sz="0" w:space="0" w:color="auto"/>
        <w:bottom w:val="none" w:sz="0" w:space="0" w:color="auto"/>
        <w:right w:val="none" w:sz="0" w:space="0" w:color="auto"/>
      </w:divBdr>
    </w:div>
    <w:div w:id="1723747054">
      <w:bodyDiv w:val="1"/>
      <w:marLeft w:val="0"/>
      <w:marRight w:val="0"/>
      <w:marTop w:val="0"/>
      <w:marBottom w:val="0"/>
      <w:divBdr>
        <w:top w:val="none" w:sz="0" w:space="0" w:color="auto"/>
        <w:left w:val="none" w:sz="0" w:space="0" w:color="auto"/>
        <w:bottom w:val="none" w:sz="0" w:space="0" w:color="auto"/>
        <w:right w:val="none" w:sz="0" w:space="0" w:color="auto"/>
      </w:divBdr>
    </w:div>
    <w:div w:id="1737629424">
      <w:bodyDiv w:val="1"/>
      <w:marLeft w:val="0"/>
      <w:marRight w:val="0"/>
      <w:marTop w:val="0"/>
      <w:marBottom w:val="0"/>
      <w:divBdr>
        <w:top w:val="none" w:sz="0" w:space="0" w:color="auto"/>
        <w:left w:val="none" w:sz="0" w:space="0" w:color="auto"/>
        <w:bottom w:val="none" w:sz="0" w:space="0" w:color="auto"/>
        <w:right w:val="none" w:sz="0" w:space="0" w:color="auto"/>
      </w:divBdr>
    </w:div>
    <w:div w:id="1803308975">
      <w:bodyDiv w:val="1"/>
      <w:marLeft w:val="0"/>
      <w:marRight w:val="0"/>
      <w:marTop w:val="0"/>
      <w:marBottom w:val="0"/>
      <w:divBdr>
        <w:top w:val="none" w:sz="0" w:space="0" w:color="auto"/>
        <w:left w:val="none" w:sz="0" w:space="0" w:color="auto"/>
        <w:bottom w:val="none" w:sz="0" w:space="0" w:color="auto"/>
        <w:right w:val="none" w:sz="0" w:space="0" w:color="auto"/>
      </w:divBdr>
    </w:div>
    <w:div w:id="2074306864">
      <w:bodyDiv w:val="1"/>
      <w:marLeft w:val="0"/>
      <w:marRight w:val="0"/>
      <w:marTop w:val="0"/>
      <w:marBottom w:val="0"/>
      <w:divBdr>
        <w:top w:val="none" w:sz="0" w:space="0" w:color="auto"/>
        <w:left w:val="none" w:sz="0" w:space="0" w:color="auto"/>
        <w:bottom w:val="none" w:sz="0" w:space="0" w:color="auto"/>
        <w:right w:val="none" w:sz="0" w:space="0" w:color="auto"/>
      </w:divBdr>
    </w:div>
    <w:div w:id="209257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Cindy\Documents\1B%20FLASHDRIVE%20FY%202014\LYNDA.COM\4.%20Knowledge%20Sector%20Jobs,%20Selected%20Industries,%20Third%20Quarter%20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indy\Documents\1B%20FLASHDRIVE%20FY%202014\STRATEGIC%20PLAN%20FY14%20and%20LYNDA.COM\LYNDA.COM\6.%20Overall%20Healtcare%20by%20Industry%20in%20MSW.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Cindy\Documents\1B%20FLASHDRIVE%20FY%202014\STRATEGIC%20PLAN%20FY14%20and%20LYNDA.COM\LYNDA.COM\10.%20Number%20of%20Jobs%20Key%20Manufacturing%20Industries%20in%20Metro%20Southwest%20Third%20Quarter%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900"/>
              <a:t>Distribution</a:t>
            </a:r>
            <a:r>
              <a:rPr lang="en-US" sz="900" baseline="0"/>
              <a:t> of  Employment by Industry Supersector </a:t>
            </a:r>
            <a:endParaRPr lang="en-US" sz="900"/>
          </a:p>
        </c:rich>
      </c:tx>
      <c:layout>
        <c:manualLayout>
          <c:xMode val="edge"/>
          <c:yMode val="edge"/>
          <c:x val="5.9884196528609733E-2"/>
          <c:y val="3.284072249589505E-2"/>
        </c:manualLayout>
      </c:layout>
      <c:overlay val="1"/>
    </c:title>
    <c:plotArea>
      <c:layout>
        <c:manualLayout>
          <c:layoutTarget val="inner"/>
          <c:xMode val="edge"/>
          <c:yMode val="edge"/>
          <c:x val="8.2030276518465492E-2"/>
          <c:y val="0.14661089238845143"/>
          <c:w val="0.5724422696374305"/>
          <c:h val="0.77611475648877692"/>
        </c:manualLayout>
      </c:layout>
      <c:barChart>
        <c:barDir val="col"/>
        <c:grouping val="stacked"/>
        <c:ser>
          <c:idx val="0"/>
          <c:order val="0"/>
          <c:tx>
            <c:strRef>
              <c:f>Sheet1!$A$3</c:f>
              <c:strCache>
                <c:ptCount val="1"/>
                <c:pt idx="0">
                  <c:v>Education &amp; Health Services</c:v>
                </c:pt>
              </c:strCache>
            </c:strRef>
          </c:tx>
          <c:dLbls>
            <c:txPr>
              <a:bodyPr/>
              <a:lstStyle/>
              <a:p>
                <a:pPr>
                  <a:defRPr sz="800" baseline="0"/>
                </a:pPr>
                <a:endParaRPr lang="en-US"/>
              </a:p>
            </c:txPr>
            <c:dLblPos val="ctr"/>
            <c:showVal val="1"/>
          </c:dLbls>
          <c:cat>
            <c:strRef>
              <c:f>Sheet1!$B$2:$D$2</c:f>
              <c:strCache>
                <c:ptCount val="3"/>
                <c:pt idx="0">
                  <c:v>Metro South/West</c:v>
                </c:pt>
                <c:pt idx="1">
                  <c:v>Massachusetts</c:v>
                </c:pt>
                <c:pt idx="2">
                  <c:v>United States</c:v>
                </c:pt>
              </c:strCache>
            </c:strRef>
          </c:cat>
          <c:val>
            <c:numRef>
              <c:f>Sheet1!$B$3:$D$3</c:f>
              <c:numCache>
                <c:formatCode>General</c:formatCode>
                <c:ptCount val="3"/>
                <c:pt idx="0">
                  <c:v>22.5</c:v>
                </c:pt>
                <c:pt idx="1">
                  <c:v>27.2</c:v>
                </c:pt>
                <c:pt idx="2">
                  <c:v>24.3</c:v>
                </c:pt>
              </c:numCache>
            </c:numRef>
          </c:val>
        </c:ser>
        <c:ser>
          <c:idx val="1"/>
          <c:order val="1"/>
          <c:tx>
            <c:strRef>
              <c:f>Sheet1!$A$4</c:f>
              <c:strCache>
                <c:ptCount val="1"/>
                <c:pt idx="0">
                  <c:v>Trade, Transportation, &amp; Utilities</c:v>
                </c:pt>
              </c:strCache>
            </c:strRef>
          </c:tx>
          <c:dLbls>
            <c:txPr>
              <a:bodyPr/>
              <a:lstStyle/>
              <a:p>
                <a:pPr>
                  <a:defRPr sz="800"/>
                </a:pPr>
                <a:endParaRPr lang="en-US"/>
              </a:p>
            </c:txPr>
            <c:dLblPos val="ctr"/>
            <c:showVal val="1"/>
          </c:dLbls>
          <c:cat>
            <c:strRef>
              <c:f>Sheet1!$B$2:$D$2</c:f>
              <c:strCache>
                <c:ptCount val="3"/>
                <c:pt idx="0">
                  <c:v>Metro South/West</c:v>
                </c:pt>
                <c:pt idx="1">
                  <c:v>Massachusetts</c:v>
                </c:pt>
                <c:pt idx="2">
                  <c:v>United States</c:v>
                </c:pt>
              </c:strCache>
            </c:strRef>
          </c:cat>
          <c:val>
            <c:numRef>
              <c:f>Sheet1!$B$4:$D$4</c:f>
              <c:numCache>
                <c:formatCode>General</c:formatCode>
                <c:ptCount val="3"/>
                <c:pt idx="0">
                  <c:v>17.8</c:v>
                </c:pt>
                <c:pt idx="1">
                  <c:v>18.399999999999999</c:v>
                </c:pt>
                <c:pt idx="2">
                  <c:v>20.7</c:v>
                </c:pt>
              </c:numCache>
            </c:numRef>
          </c:val>
        </c:ser>
        <c:ser>
          <c:idx val="2"/>
          <c:order val="2"/>
          <c:tx>
            <c:strRef>
              <c:f>Sheet1!$A$5</c:f>
              <c:strCache>
                <c:ptCount val="1"/>
                <c:pt idx="0">
                  <c:v>Professional &amp; Business Services</c:v>
                </c:pt>
              </c:strCache>
            </c:strRef>
          </c:tx>
          <c:dLbls>
            <c:txPr>
              <a:bodyPr/>
              <a:lstStyle/>
              <a:p>
                <a:pPr>
                  <a:defRPr sz="800"/>
                </a:pPr>
                <a:endParaRPr lang="en-US"/>
              </a:p>
            </c:txPr>
            <c:dLblPos val="ctr"/>
            <c:showVal val="1"/>
          </c:dLbls>
          <c:cat>
            <c:strRef>
              <c:f>Sheet1!$B$2:$D$2</c:f>
              <c:strCache>
                <c:ptCount val="3"/>
                <c:pt idx="0">
                  <c:v>Metro South/West</c:v>
                </c:pt>
                <c:pt idx="1">
                  <c:v>Massachusetts</c:v>
                </c:pt>
                <c:pt idx="2">
                  <c:v>United States</c:v>
                </c:pt>
              </c:strCache>
            </c:strRef>
          </c:cat>
          <c:val>
            <c:numRef>
              <c:f>Sheet1!$B$5:$D$5</c:f>
              <c:numCache>
                <c:formatCode>General</c:formatCode>
                <c:ptCount val="3"/>
                <c:pt idx="0">
                  <c:v>21.9</c:v>
                </c:pt>
                <c:pt idx="1">
                  <c:v>14.9</c:v>
                </c:pt>
                <c:pt idx="2">
                  <c:v>13.6</c:v>
                </c:pt>
              </c:numCache>
            </c:numRef>
          </c:val>
        </c:ser>
        <c:ser>
          <c:idx val="3"/>
          <c:order val="3"/>
          <c:tx>
            <c:strRef>
              <c:f>Sheet1!$A$6</c:f>
              <c:strCache>
                <c:ptCount val="1"/>
                <c:pt idx="0">
                  <c:v>Leisure &amp; Hospitality</c:v>
                </c:pt>
              </c:strCache>
            </c:strRef>
          </c:tx>
          <c:dLbls>
            <c:txPr>
              <a:bodyPr/>
              <a:lstStyle/>
              <a:p>
                <a:pPr>
                  <a:defRPr sz="800"/>
                </a:pPr>
                <a:endParaRPr lang="en-US"/>
              </a:p>
            </c:txPr>
            <c:dLblPos val="ctr"/>
            <c:showVal val="1"/>
          </c:dLbls>
          <c:cat>
            <c:strRef>
              <c:f>Sheet1!$B$2:$D$2</c:f>
              <c:strCache>
                <c:ptCount val="3"/>
                <c:pt idx="0">
                  <c:v>Metro South/West</c:v>
                </c:pt>
                <c:pt idx="1">
                  <c:v>Massachusetts</c:v>
                </c:pt>
                <c:pt idx="2">
                  <c:v>United States</c:v>
                </c:pt>
              </c:strCache>
            </c:strRef>
          </c:cat>
          <c:val>
            <c:numRef>
              <c:f>Sheet1!$B$6:$D$6</c:f>
              <c:numCache>
                <c:formatCode>General</c:formatCode>
                <c:ptCount val="3"/>
                <c:pt idx="0">
                  <c:v>8.9</c:v>
                </c:pt>
                <c:pt idx="1">
                  <c:v>9.7000000000000011</c:v>
                </c:pt>
                <c:pt idx="2">
                  <c:v>10.5</c:v>
                </c:pt>
              </c:numCache>
            </c:numRef>
          </c:val>
        </c:ser>
        <c:ser>
          <c:idx val="4"/>
          <c:order val="4"/>
          <c:tx>
            <c:strRef>
              <c:f>Sheet1!$A$7</c:f>
              <c:strCache>
                <c:ptCount val="1"/>
                <c:pt idx="0">
                  <c:v>Manufacturing</c:v>
                </c:pt>
              </c:strCache>
            </c:strRef>
          </c:tx>
          <c:dLbls>
            <c:txPr>
              <a:bodyPr/>
              <a:lstStyle/>
              <a:p>
                <a:pPr>
                  <a:defRPr sz="800"/>
                </a:pPr>
                <a:endParaRPr lang="en-US"/>
              </a:p>
            </c:txPr>
            <c:dLblPos val="ctr"/>
            <c:showVal val="1"/>
          </c:dLbls>
          <c:cat>
            <c:strRef>
              <c:f>Sheet1!$B$2:$D$2</c:f>
              <c:strCache>
                <c:ptCount val="3"/>
                <c:pt idx="0">
                  <c:v>Metro South/West</c:v>
                </c:pt>
                <c:pt idx="1">
                  <c:v>Massachusetts</c:v>
                </c:pt>
                <c:pt idx="2">
                  <c:v>United States</c:v>
                </c:pt>
              </c:strCache>
            </c:strRef>
          </c:cat>
          <c:val>
            <c:numRef>
              <c:f>Sheet1!$B$7:$D$7</c:f>
              <c:numCache>
                <c:formatCode>General</c:formatCode>
                <c:ptCount val="3"/>
                <c:pt idx="0">
                  <c:v>9.3000000000000007</c:v>
                </c:pt>
                <c:pt idx="1">
                  <c:v>8.1</c:v>
                </c:pt>
                <c:pt idx="2">
                  <c:v>9.1</c:v>
                </c:pt>
              </c:numCache>
            </c:numRef>
          </c:val>
        </c:ser>
        <c:ser>
          <c:idx val="5"/>
          <c:order val="5"/>
          <c:tx>
            <c:strRef>
              <c:f>Sheet1!$A$8</c:f>
              <c:strCache>
                <c:ptCount val="1"/>
                <c:pt idx="0">
                  <c:v>Financial Activities</c:v>
                </c:pt>
              </c:strCache>
            </c:strRef>
          </c:tx>
          <c:dLbls>
            <c:txPr>
              <a:bodyPr/>
              <a:lstStyle/>
              <a:p>
                <a:pPr>
                  <a:defRPr sz="800"/>
                </a:pPr>
                <a:endParaRPr lang="en-US"/>
              </a:p>
            </c:txPr>
            <c:dLblPos val="ctr"/>
            <c:showVal val="1"/>
          </c:dLbls>
          <c:cat>
            <c:strRef>
              <c:f>Sheet1!$B$2:$D$2</c:f>
              <c:strCache>
                <c:ptCount val="3"/>
                <c:pt idx="0">
                  <c:v>Metro South/West</c:v>
                </c:pt>
                <c:pt idx="1">
                  <c:v>Massachusetts</c:v>
                </c:pt>
                <c:pt idx="2">
                  <c:v>United States</c:v>
                </c:pt>
              </c:strCache>
            </c:strRef>
          </c:cat>
          <c:val>
            <c:numRef>
              <c:f>Sheet1!$B$8:$D$8</c:f>
              <c:numCache>
                <c:formatCode>General</c:formatCode>
                <c:ptCount val="3"/>
                <c:pt idx="0">
                  <c:v>5.0999999999999996</c:v>
                </c:pt>
                <c:pt idx="1">
                  <c:v>6.5</c:v>
                </c:pt>
                <c:pt idx="2">
                  <c:v>5.9</c:v>
                </c:pt>
              </c:numCache>
            </c:numRef>
          </c:val>
        </c:ser>
        <c:ser>
          <c:idx val="6"/>
          <c:order val="6"/>
          <c:tx>
            <c:strRef>
              <c:f>Sheet1!$A$9</c:f>
              <c:strCache>
                <c:ptCount val="1"/>
                <c:pt idx="0">
                  <c:v>Government</c:v>
                </c:pt>
              </c:strCache>
            </c:strRef>
          </c:tx>
          <c:dLbls>
            <c:txPr>
              <a:bodyPr/>
              <a:lstStyle/>
              <a:p>
                <a:pPr>
                  <a:defRPr sz="800"/>
                </a:pPr>
                <a:endParaRPr lang="en-US"/>
              </a:p>
            </c:txPr>
            <c:dLblPos val="ctr"/>
            <c:showVal val="1"/>
          </c:dLbls>
          <c:cat>
            <c:strRef>
              <c:f>Sheet1!$B$2:$D$2</c:f>
              <c:strCache>
                <c:ptCount val="3"/>
                <c:pt idx="0">
                  <c:v>Metro South/West</c:v>
                </c:pt>
                <c:pt idx="1">
                  <c:v>Massachusetts</c:v>
                </c:pt>
                <c:pt idx="2">
                  <c:v>United States</c:v>
                </c:pt>
              </c:strCache>
            </c:strRef>
          </c:cat>
          <c:val>
            <c:numRef>
              <c:f>Sheet1!$B$9:$D$9</c:f>
              <c:numCache>
                <c:formatCode>General</c:formatCode>
                <c:ptCount val="3"/>
                <c:pt idx="0">
                  <c:v>2.9</c:v>
                </c:pt>
                <c:pt idx="1">
                  <c:v>4.3</c:v>
                </c:pt>
                <c:pt idx="2">
                  <c:v>5.8</c:v>
                </c:pt>
              </c:numCache>
            </c:numRef>
          </c:val>
        </c:ser>
        <c:ser>
          <c:idx val="7"/>
          <c:order val="7"/>
          <c:tx>
            <c:strRef>
              <c:f>Sheet1!$A$10</c:f>
              <c:strCache>
                <c:ptCount val="1"/>
                <c:pt idx="0">
                  <c:v>Construction</c:v>
                </c:pt>
              </c:strCache>
            </c:strRef>
          </c:tx>
          <c:dLbls>
            <c:txPr>
              <a:bodyPr/>
              <a:lstStyle/>
              <a:p>
                <a:pPr>
                  <a:defRPr sz="800"/>
                </a:pPr>
                <a:endParaRPr lang="en-US"/>
              </a:p>
            </c:txPr>
            <c:dLblPos val="ctr"/>
            <c:showVal val="1"/>
          </c:dLbls>
          <c:cat>
            <c:strRef>
              <c:f>Sheet1!$B$2:$D$2</c:f>
              <c:strCache>
                <c:ptCount val="3"/>
                <c:pt idx="0">
                  <c:v>Metro South/West</c:v>
                </c:pt>
                <c:pt idx="1">
                  <c:v>Massachusetts</c:v>
                </c:pt>
                <c:pt idx="2">
                  <c:v>United States</c:v>
                </c:pt>
              </c:strCache>
            </c:strRef>
          </c:cat>
          <c:val>
            <c:numRef>
              <c:f>Sheet1!$B$10:$D$10</c:f>
              <c:numCache>
                <c:formatCode>General</c:formatCode>
                <c:ptCount val="3"/>
                <c:pt idx="0">
                  <c:v>3.8</c:v>
                </c:pt>
                <c:pt idx="1">
                  <c:v>3.8</c:v>
                </c:pt>
                <c:pt idx="2">
                  <c:v>4.5</c:v>
                </c:pt>
              </c:numCache>
            </c:numRef>
          </c:val>
        </c:ser>
        <c:ser>
          <c:idx val="8"/>
          <c:order val="8"/>
          <c:tx>
            <c:strRef>
              <c:f>Sheet1!$A$11</c:f>
              <c:strCache>
                <c:ptCount val="1"/>
                <c:pt idx="0">
                  <c:v>Other Services</c:v>
                </c:pt>
              </c:strCache>
            </c:strRef>
          </c:tx>
          <c:dLbls>
            <c:txPr>
              <a:bodyPr/>
              <a:lstStyle/>
              <a:p>
                <a:pPr>
                  <a:defRPr sz="800"/>
                </a:pPr>
                <a:endParaRPr lang="en-US"/>
              </a:p>
            </c:txPr>
            <c:dLblPos val="ctr"/>
            <c:showVal val="1"/>
          </c:dLbls>
          <c:cat>
            <c:strRef>
              <c:f>Sheet1!$B$2:$D$2</c:f>
              <c:strCache>
                <c:ptCount val="3"/>
                <c:pt idx="0">
                  <c:v>Metro South/West</c:v>
                </c:pt>
                <c:pt idx="1">
                  <c:v>Massachusetts</c:v>
                </c:pt>
                <c:pt idx="2">
                  <c:v>United States</c:v>
                </c:pt>
              </c:strCache>
            </c:strRef>
          </c:cat>
          <c:val>
            <c:numRef>
              <c:f>Sheet1!$B$11:$D$11</c:f>
              <c:numCache>
                <c:formatCode>General</c:formatCode>
                <c:ptCount val="3"/>
                <c:pt idx="0">
                  <c:v>3.1</c:v>
                </c:pt>
                <c:pt idx="1">
                  <c:v>4.2</c:v>
                </c:pt>
                <c:pt idx="2">
                  <c:v>3.5</c:v>
                </c:pt>
              </c:numCache>
            </c:numRef>
          </c:val>
        </c:ser>
        <c:ser>
          <c:idx val="9"/>
          <c:order val="9"/>
          <c:tx>
            <c:strRef>
              <c:f>Sheet1!$A$12</c:f>
              <c:strCache>
                <c:ptCount val="1"/>
                <c:pt idx="0">
                  <c:v>Information</c:v>
                </c:pt>
              </c:strCache>
            </c:strRef>
          </c:tx>
          <c:dLbls>
            <c:txPr>
              <a:bodyPr/>
              <a:lstStyle/>
              <a:p>
                <a:pPr>
                  <a:defRPr sz="800"/>
                </a:pPr>
                <a:endParaRPr lang="en-US"/>
              </a:p>
            </c:txPr>
            <c:dLblPos val="ctr"/>
            <c:showVal val="1"/>
          </c:dLbls>
          <c:cat>
            <c:strRef>
              <c:f>Sheet1!$B$2:$D$2</c:f>
              <c:strCache>
                <c:ptCount val="3"/>
                <c:pt idx="0">
                  <c:v>Metro South/West</c:v>
                </c:pt>
                <c:pt idx="1">
                  <c:v>Massachusetts</c:v>
                </c:pt>
                <c:pt idx="2">
                  <c:v>United States</c:v>
                </c:pt>
              </c:strCache>
            </c:strRef>
          </c:cat>
          <c:val>
            <c:numRef>
              <c:f>Sheet1!$B$12:$D$12</c:f>
              <c:numCache>
                <c:formatCode>General</c:formatCode>
                <c:ptCount val="3"/>
                <c:pt idx="0">
                  <c:v>4.5999999999999996</c:v>
                </c:pt>
                <c:pt idx="1">
                  <c:v>2.8</c:v>
                </c:pt>
                <c:pt idx="2">
                  <c:v>2.2000000000000002</c:v>
                </c:pt>
              </c:numCache>
            </c:numRef>
          </c:val>
        </c:ser>
        <c:dLbls>
          <c:showVal val="1"/>
        </c:dLbls>
        <c:overlap val="100"/>
        <c:axId val="99216384"/>
        <c:axId val="116174848"/>
      </c:barChart>
      <c:catAx>
        <c:axId val="99216384"/>
        <c:scaling>
          <c:orientation val="minMax"/>
        </c:scaling>
        <c:axPos val="b"/>
        <c:tickLblPos val="nextTo"/>
        <c:txPr>
          <a:bodyPr/>
          <a:lstStyle/>
          <a:p>
            <a:pPr>
              <a:defRPr sz="800"/>
            </a:pPr>
            <a:endParaRPr lang="en-US"/>
          </a:p>
        </c:txPr>
        <c:crossAx val="116174848"/>
        <c:crosses val="autoZero"/>
        <c:auto val="1"/>
        <c:lblAlgn val="ctr"/>
        <c:lblOffset val="100"/>
      </c:catAx>
      <c:valAx>
        <c:axId val="116174848"/>
        <c:scaling>
          <c:orientation val="minMax"/>
          <c:max val="100"/>
        </c:scaling>
        <c:axPos val="l"/>
        <c:majorGridlines/>
        <c:numFmt formatCode="General" sourceLinked="1"/>
        <c:tickLblPos val="nextTo"/>
        <c:txPr>
          <a:bodyPr/>
          <a:lstStyle/>
          <a:p>
            <a:pPr>
              <a:defRPr sz="900"/>
            </a:pPr>
            <a:endParaRPr lang="en-US"/>
          </a:p>
        </c:txPr>
        <c:crossAx val="99216384"/>
        <c:crosses val="autoZero"/>
        <c:crossBetween val="between"/>
      </c:valAx>
    </c:plotArea>
    <c:legend>
      <c:legendPos val="r"/>
      <c:layout>
        <c:manualLayout>
          <c:xMode val="edge"/>
          <c:yMode val="edge"/>
          <c:x val="0.75004293352989104"/>
          <c:y val="0.11784664061727546"/>
          <c:w val="0.23329046462164571"/>
          <c:h val="0.88215335938272388"/>
        </c:manualLayout>
      </c:layout>
      <c:txPr>
        <a:bodyPr/>
        <a:lstStyle/>
        <a:p>
          <a:pPr>
            <a:defRPr sz="800"/>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sz="900">
                <a:latin typeface="Century Schoolbook" pitchFamily="18" charset="0"/>
              </a:rPr>
              <a:t>Knowledge</a:t>
            </a:r>
            <a:r>
              <a:rPr lang="en-US" sz="900" baseline="0">
                <a:latin typeface="Century Schoolbook" pitchFamily="18" charset="0"/>
              </a:rPr>
              <a:t> Sector Jobs</a:t>
            </a:r>
            <a:br>
              <a:rPr lang="en-US" sz="900" baseline="0">
                <a:latin typeface="Century Schoolbook" pitchFamily="18" charset="0"/>
              </a:rPr>
            </a:br>
            <a:r>
              <a:rPr lang="en-US" sz="900" baseline="0">
                <a:latin typeface="Century Schoolbook" pitchFamily="18" charset="0"/>
              </a:rPr>
              <a:t>Selected Industries</a:t>
            </a:r>
            <a:br>
              <a:rPr lang="en-US" sz="900" baseline="0">
                <a:latin typeface="Century Schoolbook" pitchFamily="18" charset="0"/>
              </a:rPr>
            </a:br>
            <a:r>
              <a:rPr lang="en-US" sz="900" baseline="0">
                <a:latin typeface="Century Schoolbook" pitchFamily="18" charset="0"/>
              </a:rPr>
              <a:t>Third Quarter 2012</a:t>
            </a:r>
            <a:endParaRPr lang="en-US" sz="900">
              <a:latin typeface="Century Schoolbook" pitchFamily="18" charset="0"/>
            </a:endParaRPr>
          </a:p>
        </c:rich>
      </c:tx>
      <c:layout>
        <c:manualLayout>
          <c:xMode val="edge"/>
          <c:yMode val="edge"/>
          <c:x val="0.28256611153080241"/>
          <c:y val="4.4895038984656882E-2"/>
        </c:manualLayout>
      </c:layout>
    </c:title>
    <c:plotArea>
      <c:layout/>
      <c:pieChart>
        <c:varyColors val="1"/>
        <c:ser>
          <c:idx val="0"/>
          <c:order val="0"/>
          <c:dLbls>
            <c:dLbl>
              <c:idx val="4"/>
              <c:layout>
                <c:manualLayout>
                  <c:x val="2.8347331583552082E-2"/>
                  <c:y val="8.8773330417031227E-2"/>
                </c:manualLayout>
              </c:layout>
              <c:dLblPos val="bestFit"/>
              <c:showVal val="1"/>
            </c:dLbl>
            <c:txPr>
              <a:bodyPr/>
              <a:lstStyle/>
              <a:p>
                <a:pPr>
                  <a:defRPr sz="800">
                    <a:solidFill>
                      <a:schemeClr val="bg1"/>
                    </a:solidFill>
                  </a:defRPr>
                </a:pPr>
                <a:endParaRPr lang="en-US"/>
              </a:p>
            </c:txPr>
            <c:dLblPos val="ctr"/>
            <c:showVal val="1"/>
            <c:showLeaderLines val="1"/>
          </c:dLbls>
          <c:cat>
            <c:strRef>
              <c:f>Sheet1!$A$4:$A$8</c:f>
              <c:strCache>
                <c:ptCount val="5"/>
                <c:pt idx="0">
                  <c:v>Computer Systems Design &amp; Related Services</c:v>
                </c:pt>
                <c:pt idx="1">
                  <c:v>Scientific Research &amp; Development</c:v>
                </c:pt>
                <c:pt idx="2">
                  <c:v>Architecture &amp; Engineering</c:v>
                </c:pt>
                <c:pt idx="3">
                  <c:v>Management &amp; Technical Services</c:v>
                </c:pt>
                <c:pt idx="4">
                  <c:v>Telecommunications</c:v>
                </c:pt>
              </c:strCache>
            </c:strRef>
          </c:cat>
          <c:val>
            <c:numRef>
              <c:f>Sheet1!$B$4:$B$8</c:f>
              <c:numCache>
                <c:formatCode>#,##0</c:formatCode>
                <c:ptCount val="5"/>
                <c:pt idx="0">
                  <c:v>22600</c:v>
                </c:pt>
                <c:pt idx="1">
                  <c:v>12572</c:v>
                </c:pt>
                <c:pt idx="2">
                  <c:v>9943</c:v>
                </c:pt>
                <c:pt idx="3">
                  <c:v>9724</c:v>
                </c:pt>
                <c:pt idx="4">
                  <c:v>3299</c:v>
                </c:pt>
              </c:numCache>
            </c:numRef>
          </c:val>
        </c:ser>
        <c:firstSliceAng val="0"/>
      </c:pieChart>
    </c:plotArea>
    <c:legend>
      <c:legendPos val="r"/>
      <c:txPr>
        <a:bodyPr/>
        <a:lstStyle/>
        <a:p>
          <a:pPr>
            <a:defRPr sz="800"/>
          </a:pPr>
          <a:endParaRPr lang="en-U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000"/>
              <a:t>Health Care by Major Industry Sector in Metro Southwest</a:t>
            </a:r>
          </a:p>
        </c:rich>
      </c:tx>
      <c:layout>
        <c:manualLayout>
          <c:xMode val="edge"/>
          <c:yMode val="edge"/>
          <c:x val="0.13864588801399824"/>
          <c:y val="2.7777777777777991E-2"/>
        </c:manualLayout>
      </c:layout>
    </c:title>
    <c:plotArea>
      <c:layout/>
      <c:barChart>
        <c:barDir val="col"/>
        <c:grouping val="clustered"/>
        <c:ser>
          <c:idx val="0"/>
          <c:order val="0"/>
          <c:tx>
            <c:strRef>
              <c:f>Sheet1!$B$2</c:f>
              <c:strCache>
                <c:ptCount val="1"/>
                <c:pt idx="0">
                  <c:v>MSW</c:v>
                </c:pt>
              </c:strCache>
            </c:strRef>
          </c:tx>
          <c:dLbls>
            <c:dLbl>
              <c:idx val="0"/>
              <c:layout>
                <c:manualLayout>
                  <c:x val="-1.1111111111111125E-2"/>
                  <c:y val="-8.4875562720135071E-17"/>
                </c:manualLayout>
              </c:layout>
              <c:showVal val="1"/>
            </c:dLbl>
            <c:dLbl>
              <c:idx val="1"/>
              <c:layout>
                <c:manualLayout>
                  <c:x val="-1.9444444444444445E-2"/>
                  <c:y val="4.6296296296296519E-3"/>
                </c:manualLayout>
              </c:layout>
              <c:showVal val="1"/>
            </c:dLbl>
            <c:dLbl>
              <c:idx val="2"/>
              <c:layout>
                <c:manualLayout>
                  <c:x val="-1.1111111111111125E-2"/>
                  <c:y val="0"/>
                </c:manualLayout>
              </c:layout>
              <c:showVal val="1"/>
            </c:dLbl>
            <c:txPr>
              <a:bodyPr/>
              <a:lstStyle/>
              <a:p>
                <a:pPr>
                  <a:defRPr sz="800"/>
                </a:pPr>
                <a:endParaRPr lang="en-US"/>
              </a:p>
            </c:txPr>
            <c:showVal val="1"/>
          </c:dLbls>
          <c:cat>
            <c:strRef>
              <c:f>Sheet1!$A$3:$A$5</c:f>
              <c:strCache>
                <c:ptCount val="3"/>
                <c:pt idx="0">
                  <c:v>Hospitals</c:v>
                </c:pt>
                <c:pt idx="1">
                  <c:v>Ambulatory</c:v>
                </c:pt>
                <c:pt idx="2">
                  <c:v>Nursing &amp; Residential Care</c:v>
                </c:pt>
              </c:strCache>
            </c:strRef>
          </c:cat>
          <c:val>
            <c:numRef>
              <c:f>Sheet1!$B$3:$B$5</c:f>
              <c:numCache>
                <c:formatCode>#,##0</c:formatCode>
                <c:ptCount val="3"/>
                <c:pt idx="0">
                  <c:v>13121</c:v>
                </c:pt>
                <c:pt idx="1">
                  <c:v>24767</c:v>
                </c:pt>
                <c:pt idx="2">
                  <c:v>14133</c:v>
                </c:pt>
              </c:numCache>
            </c:numRef>
          </c:val>
        </c:ser>
        <c:ser>
          <c:idx val="1"/>
          <c:order val="1"/>
          <c:tx>
            <c:strRef>
              <c:f>Sheet1!$C$2</c:f>
              <c:strCache>
                <c:ptCount val="1"/>
                <c:pt idx="0">
                  <c:v>MA</c:v>
                </c:pt>
              </c:strCache>
            </c:strRef>
          </c:tx>
          <c:dLbls>
            <c:txPr>
              <a:bodyPr/>
              <a:lstStyle/>
              <a:p>
                <a:pPr>
                  <a:defRPr sz="800"/>
                </a:pPr>
                <a:endParaRPr lang="en-US"/>
              </a:p>
            </c:txPr>
            <c:showVal val="1"/>
          </c:dLbls>
          <c:cat>
            <c:strRef>
              <c:f>Sheet1!$A$3:$A$5</c:f>
              <c:strCache>
                <c:ptCount val="3"/>
                <c:pt idx="0">
                  <c:v>Hospitals</c:v>
                </c:pt>
                <c:pt idx="1">
                  <c:v>Ambulatory</c:v>
                </c:pt>
                <c:pt idx="2">
                  <c:v>Nursing &amp; Residential Care</c:v>
                </c:pt>
              </c:strCache>
            </c:strRef>
          </c:cat>
          <c:val>
            <c:numRef>
              <c:f>Sheet1!$C$3:$C$5</c:f>
              <c:numCache>
                <c:formatCode>#,##0</c:formatCode>
                <c:ptCount val="3"/>
                <c:pt idx="0">
                  <c:v>198648</c:v>
                </c:pt>
                <c:pt idx="1">
                  <c:v>164678</c:v>
                </c:pt>
                <c:pt idx="2">
                  <c:v>102511</c:v>
                </c:pt>
              </c:numCache>
            </c:numRef>
          </c:val>
        </c:ser>
        <c:axId val="124621184"/>
        <c:axId val="124624256"/>
      </c:barChart>
      <c:catAx>
        <c:axId val="124621184"/>
        <c:scaling>
          <c:orientation val="minMax"/>
        </c:scaling>
        <c:axPos val="b"/>
        <c:tickLblPos val="nextTo"/>
        <c:txPr>
          <a:bodyPr/>
          <a:lstStyle/>
          <a:p>
            <a:pPr>
              <a:defRPr sz="800"/>
            </a:pPr>
            <a:endParaRPr lang="en-US"/>
          </a:p>
        </c:txPr>
        <c:crossAx val="124624256"/>
        <c:crosses val="autoZero"/>
        <c:auto val="1"/>
        <c:lblAlgn val="ctr"/>
        <c:lblOffset val="100"/>
      </c:catAx>
      <c:valAx>
        <c:axId val="124624256"/>
        <c:scaling>
          <c:orientation val="minMax"/>
        </c:scaling>
        <c:axPos val="l"/>
        <c:majorGridlines/>
        <c:numFmt formatCode="#,##0" sourceLinked="1"/>
        <c:tickLblPos val="nextTo"/>
        <c:txPr>
          <a:bodyPr/>
          <a:lstStyle/>
          <a:p>
            <a:pPr>
              <a:defRPr sz="800"/>
            </a:pPr>
            <a:endParaRPr lang="en-US"/>
          </a:p>
        </c:txPr>
        <c:crossAx val="124621184"/>
        <c:crosses val="autoZero"/>
        <c:crossBetween val="between"/>
      </c:valAx>
      <c:spPr>
        <a:ln w="6350">
          <a:solidFill>
            <a:schemeClr val="tx1">
              <a:lumMod val="50000"/>
              <a:lumOff val="50000"/>
            </a:schemeClr>
          </a:solidFill>
        </a:ln>
      </c:spPr>
    </c:plotArea>
    <c:legend>
      <c:legendPos val="r"/>
      <c:txPr>
        <a:bodyPr/>
        <a:lstStyle/>
        <a:p>
          <a:pPr>
            <a:defRPr sz="800"/>
          </a:pPr>
          <a:endParaRPr lang="en-US"/>
        </a:p>
      </c:txPr>
    </c:legend>
    <c:plotVisOnly val="1"/>
    <c:dispBlanksAs val="gap"/>
  </c:chart>
  <c:spPr>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sz="800"/>
            </a:pPr>
            <a:r>
              <a:rPr lang="en-US" sz="800"/>
              <a:t>Employment of Healthcare</a:t>
            </a:r>
            <a:r>
              <a:rPr lang="en-US" sz="800" baseline="0"/>
              <a:t> &amp; Social Assistance Workers</a:t>
            </a:r>
            <a:br>
              <a:rPr lang="en-US" sz="800" baseline="0"/>
            </a:br>
            <a:r>
              <a:rPr lang="en-US" sz="800" baseline="0"/>
              <a:t> by Minimum Required Education (MA)</a:t>
            </a:r>
            <a:endParaRPr lang="en-US" sz="800"/>
          </a:p>
        </c:rich>
      </c:tx>
      <c:layout>
        <c:manualLayout>
          <c:xMode val="edge"/>
          <c:yMode val="edge"/>
          <c:x val="0.21276371106338418"/>
          <c:y val="1.8124121923799334E-3"/>
        </c:manualLayout>
      </c:layout>
    </c:title>
    <c:plotArea>
      <c:layout>
        <c:manualLayout>
          <c:layoutTarget val="inner"/>
          <c:xMode val="edge"/>
          <c:yMode val="edge"/>
          <c:x val="8.6217098826657027E-2"/>
          <c:y val="0.15151883353584542"/>
          <c:w val="0.88068093600975961"/>
          <c:h val="0.6941402525170407"/>
        </c:manualLayout>
      </c:layout>
      <c:barChart>
        <c:barDir val="col"/>
        <c:grouping val="clustered"/>
        <c:ser>
          <c:idx val="0"/>
          <c:order val="0"/>
          <c:dLbls>
            <c:dLbl>
              <c:idx val="1"/>
              <c:layout>
                <c:manualLayout>
                  <c:x val="-2.1422450728363412E-3"/>
                  <c:y val="1.851851851851858E-2"/>
                </c:manualLayout>
              </c:layout>
              <c:showVal val="1"/>
            </c:dLbl>
            <c:dLbl>
              <c:idx val="2"/>
              <c:layout>
                <c:manualLayout>
                  <c:x val="0"/>
                  <c:y val="-9.2592592592593264E-3"/>
                </c:manualLayout>
              </c:layout>
              <c:showVal val="1"/>
            </c:dLbl>
            <c:txPr>
              <a:bodyPr/>
              <a:lstStyle/>
              <a:p>
                <a:pPr>
                  <a:defRPr sz="800"/>
                </a:pPr>
                <a:endParaRPr lang="en-US"/>
              </a:p>
            </c:txPr>
            <c:showVal val="1"/>
          </c:dLbls>
          <c:cat>
            <c:strRef>
              <c:f>Sheet1!$A$3:$A$7</c:f>
              <c:strCache>
                <c:ptCount val="5"/>
                <c:pt idx="0">
                  <c:v>No Post-Secondary Education</c:v>
                </c:pt>
                <c:pt idx="1">
                  <c:v>Post Secondary Non-Degree</c:v>
                </c:pt>
                <c:pt idx="2">
                  <c:v>Associate's Degree</c:v>
                </c:pt>
                <c:pt idx="3">
                  <c:v>Bachelor's Degree</c:v>
                </c:pt>
                <c:pt idx="4">
                  <c:v>Master's Degree </c:v>
                </c:pt>
              </c:strCache>
            </c:strRef>
          </c:cat>
          <c:val>
            <c:numRef>
              <c:f>Sheet1!$B$3:$B$7</c:f>
              <c:numCache>
                <c:formatCode>#,##0</c:formatCode>
                <c:ptCount val="5"/>
                <c:pt idx="0">
                  <c:v>124080</c:v>
                </c:pt>
                <c:pt idx="1">
                  <c:v>91680</c:v>
                </c:pt>
                <c:pt idx="2">
                  <c:v>115250</c:v>
                </c:pt>
                <c:pt idx="3">
                  <c:v>18930</c:v>
                </c:pt>
                <c:pt idx="4">
                  <c:v>38200</c:v>
                </c:pt>
              </c:numCache>
            </c:numRef>
          </c:val>
        </c:ser>
        <c:axId val="129159552"/>
        <c:axId val="129162240"/>
      </c:barChart>
      <c:catAx>
        <c:axId val="129159552"/>
        <c:scaling>
          <c:orientation val="minMax"/>
        </c:scaling>
        <c:axPos val="b"/>
        <c:tickLblPos val="nextTo"/>
        <c:txPr>
          <a:bodyPr/>
          <a:lstStyle/>
          <a:p>
            <a:pPr>
              <a:defRPr sz="600"/>
            </a:pPr>
            <a:endParaRPr lang="en-US"/>
          </a:p>
        </c:txPr>
        <c:crossAx val="129162240"/>
        <c:crosses val="autoZero"/>
        <c:auto val="1"/>
        <c:lblAlgn val="ctr"/>
        <c:lblOffset val="100"/>
      </c:catAx>
      <c:valAx>
        <c:axId val="129162240"/>
        <c:scaling>
          <c:orientation val="minMax"/>
        </c:scaling>
        <c:axPos val="l"/>
        <c:majorGridlines/>
        <c:numFmt formatCode="#,##0" sourceLinked="1"/>
        <c:tickLblPos val="nextTo"/>
        <c:txPr>
          <a:bodyPr/>
          <a:lstStyle/>
          <a:p>
            <a:pPr>
              <a:defRPr sz="700"/>
            </a:pPr>
            <a:endParaRPr lang="en-US"/>
          </a:p>
        </c:txPr>
        <c:crossAx val="129159552"/>
        <c:crosses val="autoZero"/>
        <c:crossBetween val="between"/>
      </c:valAx>
      <c:spPr>
        <a:ln w="6350">
          <a:solidFill>
            <a:schemeClr val="tx1">
              <a:lumMod val="50000"/>
              <a:lumOff val="50000"/>
            </a:schemeClr>
          </a:solidFill>
        </a:ln>
      </c:spPr>
    </c:plotArea>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700"/>
              <a:t>Number of Jobs</a:t>
            </a:r>
            <a:br>
              <a:rPr lang="en-US" sz="700"/>
            </a:br>
            <a:r>
              <a:rPr lang="en-US" sz="700"/>
              <a:t>Key Manufacturing Industries</a:t>
            </a:r>
            <a:r>
              <a:rPr lang="en-US" sz="700" baseline="0"/>
              <a:t> in Metro Southwest</a:t>
            </a:r>
            <a:br>
              <a:rPr lang="en-US" sz="700" baseline="0"/>
            </a:br>
            <a:r>
              <a:rPr lang="en-US" sz="700" baseline="0"/>
              <a:t>Third Quarter 2013</a:t>
            </a:r>
            <a:endParaRPr lang="en-US" sz="700"/>
          </a:p>
        </c:rich>
      </c:tx>
      <c:layout>
        <c:manualLayout>
          <c:xMode val="edge"/>
          <c:yMode val="edge"/>
          <c:x val="0.16298216187875578"/>
          <c:y val="6.6331976959255927E-3"/>
        </c:manualLayout>
      </c:layout>
    </c:title>
    <c:plotArea>
      <c:layout/>
      <c:barChart>
        <c:barDir val="col"/>
        <c:grouping val="clustered"/>
        <c:ser>
          <c:idx val="0"/>
          <c:order val="0"/>
          <c:dLbls>
            <c:dLbl>
              <c:idx val="0"/>
              <c:layout>
                <c:manualLayout>
                  <c:x val="0"/>
                  <c:y val="-9.2592592592593264E-3"/>
                </c:manualLayout>
              </c:layout>
              <c:showVal val="1"/>
            </c:dLbl>
            <c:dLbl>
              <c:idx val="2"/>
              <c:layout>
                <c:manualLayout>
                  <c:x val="0"/>
                  <c:y val="-1.851851851851858E-2"/>
                </c:manualLayout>
              </c:layout>
              <c:showVal val="1"/>
            </c:dLbl>
            <c:dLbl>
              <c:idx val="3"/>
              <c:layout>
                <c:manualLayout>
                  <c:x val="-2.3342670401493952E-3"/>
                  <c:y val="-2.7777777777777912E-2"/>
                </c:manualLayout>
              </c:layout>
              <c:showVal val="1"/>
            </c:dLbl>
            <c:txPr>
              <a:bodyPr/>
              <a:lstStyle/>
              <a:p>
                <a:pPr>
                  <a:defRPr sz="800"/>
                </a:pPr>
                <a:endParaRPr lang="en-US"/>
              </a:p>
            </c:txPr>
            <c:showVal val="1"/>
          </c:dLbls>
          <c:cat>
            <c:strRef>
              <c:f>'[10. Number of Jobs Key Manufacturing Industries in Metro Southwest Third Quarter 2012.xlsx]Sheet1'!$A$3:$A$6</c:f>
              <c:strCache>
                <c:ptCount val="4"/>
                <c:pt idx="0">
                  <c:v>Computer &amp; Electronic Instruments </c:v>
                </c:pt>
                <c:pt idx="1">
                  <c:v>Pharmaceutical &amp; Medicine</c:v>
                </c:pt>
                <c:pt idx="2">
                  <c:v>Metal Fabrication</c:v>
                </c:pt>
                <c:pt idx="3">
                  <c:v>Medical Devices</c:v>
                </c:pt>
              </c:strCache>
            </c:strRef>
          </c:cat>
          <c:val>
            <c:numRef>
              <c:f>'[10. Number of Jobs Key Manufacturing Industries in Metro Southwest Third Quarter 2012.xlsx]Sheet1'!$B$3:$B$6</c:f>
              <c:numCache>
                <c:formatCode>#,##0</c:formatCode>
                <c:ptCount val="4"/>
                <c:pt idx="0">
                  <c:v>23798</c:v>
                </c:pt>
                <c:pt idx="1">
                  <c:v>4519</c:v>
                </c:pt>
                <c:pt idx="2">
                  <c:v>3658</c:v>
                </c:pt>
                <c:pt idx="3">
                  <c:v>3364</c:v>
                </c:pt>
              </c:numCache>
            </c:numRef>
          </c:val>
        </c:ser>
        <c:axId val="149648128"/>
        <c:axId val="149649664"/>
      </c:barChart>
      <c:catAx>
        <c:axId val="149648128"/>
        <c:scaling>
          <c:orientation val="minMax"/>
        </c:scaling>
        <c:axPos val="b"/>
        <c:tickLblPos val="nextTo"/>
        <c:txPr>
          <a:bodyPr/>
          <a:lstStyle/>
          <a:p>
            <a:pPr>
              <a:defRPr sz="800"/>
            </a:pPr>
            <a:endParaRPr lang="en-US"/>
          </a:p>
        </c:txPr>
        <c:crossAx val="149649664"/>
        <c:crosses val="autoZero"/>
        <c:auto val="1"/>
        <c:lblAlgn val="ctr"/>
        <c:lblOffset val="100"/>
      </c:catAx>
      <c:valAx>
        <c:axId val="149649664"/>
        <c:scaling>
          <c:orientation val="minMax"/>
        </c:scaling>
        <c:axPos val="l"/>
        <c:majorGridlines/>
        <c:numFmt formatCode="#,##0" sourceLinked="1"/>
        <c:tickLblPos val="nextTo"/>
        <c:txPr>
          <a:bodyPr/>
          <a:lstStyle/>
          <a:p>
            <a:pPr>
              <a:defRPr sz="800"/>
            </a:pPr>
            <a:endParaRPr lang="en-US"/>
          </a:p>
        </c:txPr>
        <c:crossAx val="149648128"/>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0.00771</cdr:x>
      <cdr:y>0.93803</cdr:y>
    </cdr:from>
    <cdr:to>
      <cdr:x>0.69537</cdr:x>
      <cdr:y>1</cdr:y>
    </cdr:to>
    <cdr:sp macro="" textlink="">
      <cdr:nvSpPr>
        <cdr:cNvPr id="3" name="TextBox 2"/>
        <cdr:cNvSpPr txBox="1"/>
      </cdr:nvSpPr>
      <cdr:spPr>
        <a:xfrm xmlns:a="http://schemas.openxmlformats.org/drawingml/2006/main">
          <a:off x="45720" y="2941320"/>
          <a:ext cx="4076700" cy="1943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800"/>
        </a:p>
      </cdr:txBody>
    </cdr:sp>
  </cdr:relSizeAnchor>
  <cdr:relSizeAnchor xmlns:cdr="http://schemas.openxmlformats.org/drawingml/2006/chartDrawing">
    <cdr:from>
      <cdr:x>0.14644</cdr:x>
      <cdr:y>0.26975</cdr:y>
    </cdr:from>
    <cdr:to>
      <cdr:x>0.19786</cdr:x>
      <cdr:y>0.3621</cdr:y>
    </cdr:to>
    <cdr:sp macro="" textlink="">
      <cdr:nvSpPr>
        <cdr:cNvPr id="2" name="TextBox 1"/>
        <cdr:cNvSpPr txBox="1"/>
      </cdr:nvSpPr>
      <cdr:spPr>
        <a:xfrm xmlns:a="http://schemas.openxmlformats.org/drawingml/2006/main">
          <a:off x="871481" y="844816"/>
          <a:ext cx="306012" cy="2892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800">
              <a:solidFill>
                <a:schemeClr val="bg1"/>
              </a:solidFill>
            </a:rPr>
            <a:t>29%</a:t>
          </a:r>
        </a:p>
      </cdr:txBody>
    </cdr:sp>
  </cdr:relSizeAnchor>
  <cdr:relSizeAnchor xmlns:cdr="http://schemas.openxmlformats.org/drawingml/2006/chartDrawing">
    <cdr:from>
      <cdr:x>0.32769</cdr:x>
      <cdr:y>0.42042</cdr:y>
    </cdr:from>
    <cdr:to>
      <cdr:x>0.3701</cdr:x>
      <cdr:y>0.48604</cdr:y>
    </cdr:to>
    <cdr:sp macro="" textlink="">
      <cdr:nvSpPr>
        <cdr:cNvPr id="4" name="TextBox 3"/>
        <cdr:cNvSpPr txBox="1"/>
      </cdr:nvSpPr>
      <cdr:spPr>
        <a:xfrm xmlns:a="http://schemas.openxmlformats.org/drawingml/2006/main">
          <a:off x="1950135" y="1316677"/>
          <a:ext cx="252391" cy="2055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800">
              <a:solidFill>
                <a:schemeClr val="bg1"/>
              </a:solidFill>
            </a:rPr>
            <a:t>21%</a:t>
          </a:r>
        </a:p>
      </cdr:txBody>
    </cdr:sp>
  </cdr:relSizeAnchor>
  <cdr:relSizeAnchor xmlns:cdr="http://schemas.openxmlformats.org/drawingml/2006/chartDrawing">
    <cdr:from>
      <cdr:x>0.48963</cdr:x>
      <cdr:y>0.30377</cdr:y>
    </cdr:from>
    <cdr:to>
      <cdr:x>0.56675</cdr:x>
      <cdr:y>0.39125</cdr:y>
    </cdr:to>
    <cdr:sp macro="" textlink="">
      <cdr:nvSpPr>
        <cdr:cNvPr id="5" name="TextBox 4"/>
        <cdr:cNvSpPr txBox="1"/>
      </cdr:nvSpPr>
      <cdr:spPr>
        <a:xfrm xmlns:a="http://schemas.openxmlformats.org/drawingml/2006/main">
          <a:off x="2913883" y="951363"/>
          <a:ext cx="458958" cy="2739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solidFill>
                <a:schemeClr val="bg1"/>
              </a:solidFill>
            </a:rPr>
            <a:t>28%</a:t>
          </a:r>
        </a:p>
      </cdr:txBody>
    </cdr:sp>
  </cdr:relSizeAnchor>
  <cdr:relSizeAnchor xmlns:cdr="http://schemas.openxmlformats.org/drawingml/2006/chartDrawing">
    <cdr:from>
      <cdr:x>0.6773</cdr:x>
      <cdr:y>0.75577</cdr:y>
    </cdr:from>
    <cdr:to>
      <cdr:x>0.73128</cdr:x>
      <cdr:y>0.81652</cdr:y>
    </cdr:to>
    <cdr:sp macro="" textlink="">
      <cdr:nvSpPr>
        <cdr:cNvPr id="6" name="TextBox 5"/>
        <cdr:cNvSpPr txBox="1"/>
      </cdr:nvSpPr>
      <cdr:spPr>
        <a:xfrm xmlns:a="http://schemas.openxmlformats.org/drawingml/2006/main">
          <a:off x="4030743" y="2366936"/>
          <a:ext cx="321247" cy="1902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4%</a:t>
          </a:r>
        </a:p>
      </cdr:txBody>
    </cdr:sp>
  </cdr:relSizeAnchor>
  <cdr:relSizeAnchor xmlns:cdr="http://schemas.openxmlformats.org/drawingml/2006/chartDrawing">
    <cdr:from>
      <cdr:x>0.85339</cdr:x>
      <cdr:y>0.67558</cdr:y>
    </cdr:from>
    <cdr:to>
      <cdr:x>0.91766</cdr:x>
      <cdr:y>0.75091</cdr:y>
    </cdr:to>
    <cdr:sp macro="" textlink="">
      <cdr:nvSpPr>
        <cdr:cNvPr id="7" name="TextBox 6"/>
        <cdr:cNvSpPr txBox="1"/>
      </cdr:nvSpPr>
      <cdr:spPr>
        <a:xfrm xmlns:a="http://schemas.openxmlformats.org/drawingml/2006/main">
          <a:off x="5078691" y="2115785"/>
          <a:ext cx="382485" cy="235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0EE8A-D5D0-4517-B912-8740C27EE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15</Pages>
  <Words>2181</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dc:creator>
  <cp:lastModifiedBy>cmx0557</cp:lastModifiedBy>
  <cp:revision>120</cp:revision>
  <cp:lastPrinted>2014-08-01T15:58:00Z</cp:lastPrinted>
  <dcterms:created xsi:type="dcterms:W3CDTF">2014-07-13T13:27:00Z</dcterms:created>
  <dcterms:modified xsi:type="dcterms:W3CDTF">2014-08-01T16:08:00Z</dcterms:modified>
</cp:coreProperties>
</file>